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F5C" w:rsidRPr="00DC13EC" w:rsidRDefault="001E3F5C" w:rsidP="001E3F5C">
      <w:pPr>
        <w:ind w:firstLine="1304"/>
        <w:jc w:val="both"/>
        <w:rPr>
          <w:rFonts w:ascii="Times New Roman" w:hAnsi="Times New Roman" w:cs="Times New Roman"/>
          <w:b/>
          <w:sz w:val="44"/>
          <w:szCs w:val="44"/>
        </w:rPr>
      </w:pPr>
      <w:r w:rsidRPr="00DC13EC">
        <w:rPr>
          <w:rFonts w:ascii="Times New Roman" w:hAnsi="Times New Roman" w:cs="Times New Roman"/>
          <w:b/>
        </w:rPr>
        <w:tab/>
      </w:r>
      <w:r w:rsidRPr="00DC13EC">
        <w:rPr>
          <w:rFonts w:ascii="Times New Roman" w:hAnsi="Times New Roman" w:cs="Times New Roman"/>
          <w:b/>
        </w:rPr>
        <w:tab/>
      </w:r>
      <w:r w:rsidRPr="00DC13EC">
        <w:rPr>
          <w:rFonts w:ascii="Times New Roman" w:hAnsi="Times New Roman" w:cs="Times New Roman"/>
          <w:b/>
        </w:rPr>
        <w:tab/>
      </w:r>
      <w:r w:rsidRPr="00DC13EC">
        <w:rPr>
          <w:rFonts w:ascii="Times New Roman" w:hAnsi="Times New Roman" w:cs="Times New Roman"/>
          <w:b/>
        </w:rPr>
        <w:tab/>
      </w:r>
      <w:r w:rsidRPr="00DC13EC">
        <w:rPr>
          <w:rFonts w:ascii="Times New Roman" w:hAnsi="Times New Roman" w:cs="Times New Roman"/>
          <w:b/>
          <w:sz w:val="44"/>
          <w:szCs w:val="44"/>
        </w:rPr>
        <w:tab/>
        <w:t>Bilag 1</w:t>
      </w:r>
    </w:p>
    <w:p w:rsidR="001E3F5C" w:rsidRPr="00DC13EC" w:rsidRDefault="001E3F5C" w:rsidP="001E3F5C">
      <w:pPr>
        <w:ind w:firstLine="1304"/>
        <w:jc w:val="both"/>
        <w:rPr>
          <w:rFonts w:ascii="Times New Roman" w:hAnsi="Times New Roman" w:cs="Times New Roman"/>
          <w:b/>
        </w:rPr>
      </w:pPr>
    </w:p>
    <w:p w:rsidR="001E3F5C" w:rsidRPr="00DC13EC" w:rsidRDefault="001E3F5C" w:rsidP="001E3F5C">
      <w:pPr>
        <w:jc w:val="center"/>
        <w:rPr>
          <w:rFonts w:ascii="Times New Roman" w:hAnsi="Times New Roman" w:cs="Times New Roman"/>
          <w:b/>
          <w:sz w:val="28"/>
          <w:szCs w:val="28"/>
        </w:rPr>
      </w:pPr>
      <w:r w:rsidRPr="00DC13EC">
        <w:rPr>
          <w:rFonts w:ascii="Times New Roman" w:hAnsi="Times New Roman" w:cs="Times New Roman"/>
          <w:b/>
          <w:sz w:val="28"/>
          <w:szCs w:val="28"/>
        </w:rPr>
        <w:t>Oplysninger til brug for almindelig anmeldelse af fusioner</w:t>
      </w:r>
    </w:p>
    <w:p w:rsidR="001E3F5C" w:rsidRPr="00DC13EC" w:rsidRDefault="001E3F5C" w:rsidP="001E3F5C">
      <w:pPr>
        <w:ind w:firstLine="1304"/>
        <w:jc w:val="both"/>
        <w:rPr>
          <w:rFonts w:ascii="Times New Roman" w:hAnsi="Times New Roman" w:cs="Times New Roman"/>
          <w:b/>
          <w:sz w:val="21"/>
          <w:szCs w:val="21"/>
        </w:rPr>
      </w:pP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1.</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Beskrivelse af fusionen</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1.1.</w:t>
      </w:r>
      <w:r w:rsidRPr="00DC13EC">
        <w:rPr>
          <w:rFonts w:ascii="Times New Roman" w:eastAsia="Times New Roman" w:hAnsi="Times New Roman" w:cs="Times New Roman"/>
          <w:b/>
          <w:color w:val="000000"/>
          <w:lang w:eastAsia="da-DK"/>
        </w:rPr>
        <w:t xml:space="preserve"> Giv en kort beskrivelse af fusionen med angivelse af, hvem der fusionerer, fusionens art (hel eller delvis virksomhedsovertagelse, virksomhedssammenlægning eller joint venture) og fusionsparternes aktivitetsområder. Op</w:t>
      </w:r>
      <w:r w:rsidR="006145DA">
        <w:rPr>
          <w:rFonts w:ascii="Times New Roman" w:eastAsia="Times New Roman" w:hAnsi="Times New Roman" w:cs="Times New Roman"/>
          <w:b/>
          <w:color w:val="000000"/>
          <w:lang w:eastAsia="da-DK"/>
        </w:rPr>
        <w:t>lys tillige de markeder, hvor f</w:t>
      </w:r>
      <w:r w:rsidR="006145DA">
        <w:t>u</w:t>
      </w:r>
      <w:r w:rsidRPr="00DC13EC">
        <w:rPr>
          <w:rFonts w:ascii="Times New Roman" w:eastAsia="Times New Roman" w:hAnsi="Times New Roman" w:cs="Times New Roman"/>
          <w:b/>
          <w:color w:val="000000"/>
          <w:lang w:eastAsia="da-DK"/>
        </w:rPr>
        <w:t>sionen vil få virkninger.</w:t>
      </w:r>
    </w:p>
    <w:p w:rsidR="001E3F5C" w:rsidRPr="00DC13EC" w:rsidRDefault="001E3F5C" w:rsidP="001E3F5C">
      <w:pPr>
        <w:rPr>
          <w:rFonts w:ascii="Times New Roman" w:hAnsi="Times New Roman" w:cs="Times New Roman"/>
          <w:lang w:eastAsia="da-DK"/>
        </w:rPr>
      </w:pPr>
      <w:r w:rsidRPr="00DC13EC">
        <w:rPr>
          <w:rFonts w:ascii="Times New Roman" w:hAnsi="Times New Roman" w:cs="Times New Roman"/>
          <w:lang w:eastAsia="da-DK"/>
        </w:rPr>
        <w:fldChar w:fldCharType="begin">
          <w:ffData>
            <w:name w:val="Tekst1"/>
            <w:enabled/>
            <w:calcOnExit w:val="0"/>
            <w:textInput/>
          </w:ffData>
        </w:fldChar>
      </w:r>
      <w:bookmarkStart w:id="0" w:name="Tekst1"/>
      <w:r w:rsidRPr="00DC13EC">
        <w:rPr>
          <w:rFonts w:ascii="Times New Roman" w:hAnsi="Times New Roman" w:cs="Times New Roman"/>
          <w:lang w:eastAsia="da-DK"/>
        </w:rPr>
        <w:instrText xml:space="preserve"> FORMTEXT </w:instrText>
      </w:r>
      <w:r w:rsidRPr="00DC13EC">
        <w:rPr>
          <w:rFonts w:ascii="Times New Roman" w:hAnsi="Times New Roman" w:cs="Times New Roman"/>
          <w:lang w:eastAsia="da-DK"/>
        </w:rPr>
      </w:r>
      <w:r w:rsidRPr="00DC13EC">
        <w:rPr>
          <w:rFonts w:ascii="Times New Roman" w:hAnsi="Times New Roman" w:cs="Times New Roman"/>
          <w:lang w:eastAsia="da-DK"/>
        </w:rPr>
        <w:fldChar w:fldCharType="separate"/>
      </w:r>
      <w:bookmarkStart w:id="1" w:name="_GoBack"/>
      <w:bookmarkEnd w:id="1"/>
      <w:r w:rsidR="006145DA">
        <w:rPr>
          <w:rFonts w:ascii="Times New Roman" w:hAnsi="Times New Roman" w:cs="Times New Roman"/>
          <w:lang w:eastAsia="da-DK"/>
        </w:rPr>
        <w:t> </w:t>
      </w:r>
      <w:r w:rsidR="006145DA">
        <w:rPr>
          <w:rFonts w:ascii="Times New Roman" w:hAnsi="Times New Roman" w:cs="Times New Roman"/>
          <w:lang w:eastAsia="da-DK"/>
        </w:rPr>
        <w:t> </w:t>
      </w:r>
      <w:r w:rsidR="006145DA">
        <w:rPr>
          <w:rFonts w:ascii="Times New Roman" w:hAnsi="Times New Roman" w:cs="Times New Roman"/>
          <w:lang w:eastAsia="da-DK"/>
        </w:rPr>
        <w:t> </w:t>
      </w:r>
      <w:r w:rsidR="006145DA">
        <w:rPr>
          <w:rFonts w:ascii="Times New Roman" w:hAnsi="Times New Roman" w:cs="Times New Roman"/>
          <w:lang w:eastAsia="da-DK"/>
        </w:rPr>
        <w:t> </w:t>
      </w:r>
      <w:r w:rsidR="006145DA">
        <w:rPr>
          <w:rFonts w:ascii="Times New Roman" w:hAnsi="Times New Roman" w:cs="Times New Roman"/>
          <w:lang w:eastAsia="da-DK"/>
        </w:rPr>
        <w:t> </w:t>
      </w:r>
      <w:r w:rsidRPr="00DC13EC">
        <w:rPr>
          <w:rFonts w:ascii="Times New Roman" w:hAnsi="Times New Roman" w:cs="Times New Roman"/>
          <w:lang w:eastAsia="da-DK"/>
        </w:rPr>
        <w:fldChar w:fldCharType="end"/>
      </w:r>
      <w:bookmarkEnd w:id="0"/>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1.2.</w:t>
      </w:r>
      <w:r w:rsidRPr="00DC13EC">
        <w:rPr>
          <w:rFonts w:ascii="Times New Roman" w:eastAsia="Times New Roman" w:hAnsi="Times New Roman" w:cs="Times New Roman"/>
          <w:b/>
          <w:color w:val="000000"/>
          <w:lang w:eastAsia="da-DK"/>
        </w:rPr>
        <w:t xml:space="preserve"> Giv en oversigt på max. 500 ord over ovennævnte oplysninger i en form, der er egnet til offentliggørelse, dvs. uden fortrolige oplysninger eller forretningshemmeligheder. Denne beskrivelse vil danne udgangspunkt for Konkurrence- og Forbrugerstyrelsens offentliggørelse af fusionen på anmeldelsestidspunktet.</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2"/>
            <w:enabled/>
            <w:calcOnExit w:val="0"/>
            <w:textInput/>
          </w:ffData>
        </w:fldChar>
      </w:r>
      <w:bookmarkStart w:id="2" w:name="Tekst2"/>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sidR="006145DA">
        <w:rPr>
          <w:rFonts w:ascii="Times New Roman" w:eastAsia="Times New Roman" w:hAnsi="Times New Roman" w:cs="Times New Roman"/>
          <w:color w:val="000000"/>
          <w:lang w:eastAsia="da-DK"/>
        </w:rPr>
        <w:t> </w:t>
      </w:r>
      <w:r w:rsidR="006145DA">
        <w:rPr>
          <w:rFonts w:ascii="Times New Roman" w:eastAsia="Times New Roman" w:hAnsi="Times New Roman" w:cs="Times New Roman"/>
          <w:color w:val="000000"/>
          <w:lang w:eastAsia="da-DK"/>
        </w:rPr>
        <w:t> </w:t>
      </w:r>
      <w:r w:rsidR="006145DA">
        <w:rPr>
          <w:rFonts w:ascii="Times New Roman" w:eastAsia="Times New Roman" w:hAnsi="Times New Roman" w:cs="Times New Roman"/>
          <w:color w:val="000000"/>
          <w:lang w:eastAsia="da-DK"/>
        </w:rPr>
        <w:t> </w:t>
      </w:r>
      <w:r w:rsidR="006145DA">
        <w:rPr>
          <w:rFonts w:ascii="Times New Roman" w:eastAsia="Times New Roman" w:hAnsi="Times New Roman" w:cs="Times New Roman"/>
          <w:color w:val="000000"/>
          <w:lang w:eastAsia="da-DK"/>
        </w:rPr>
        <w:t> </w:t>
      </w:r>
      <w:r w:rsidR="006145DA">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bookmarkEnd w:id="2"/>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2.</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Oplysninger om parterne</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2.1.</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Oplysninger om anmelder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For den/de anmeldende part(er) oplyses:</w:t>
      </w:r>
    </w:p>
    <w:p w:rsidR="001E3F5C" w:rsidRPr="00DC13EC" w:rsidRDefault="001E3F5C" w:rsidP="001E3F5C">
      <w:pPr>
        <w:pStyle w:val="Listeafsnit"/>
        <w:numPr>
          <w:ilvl w:val="0"/>
          <w:numId w:val="1"/>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Virksomhedens navn og adresse.</w:t>
      </w:r>
    </w:p>
    <w:p w:rsidR="001E3F5C" w:rsidRPr="00DC13EC" w:rsidRDefault="001E3F5C" w:rsidP="001E3F5C">
      <w:pPr>
        <w:spacing w:after="0" w:line="240" w:lineRule="auto"/>
        <w:ind w:firstLine="640"/>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7"/>
            <w:enabled/>
            <w:calcOnExit w:val="0"/>
            <w:textInput/>
          </w:ffData>
        </w:fldChar>
      </w:r>
      <w:bookmarkStart w:id="3" w:name="Tekst7"/>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bookmarkEnd w:id="3"/>
    </w:p>
    <w:p w:rsidR="001E3F5C" w:rsidRPr="00DC13EC" w:rsidRDefault="001E3F5C" w:rsidP="001E3F5C">
      <w:pPr>
        <w:pStyle w:val="Listeafsnit"/>
        <w:numPr>
          <w:ilvl w:val="0"/>
          <w:numId w:val="1"/>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Arten af virksomhedens aktiviteter (dvs. de grupper af produkter eller tjenester, som virksomheden producerer, køber eller sælger). Også aktivitetsområder, der ikke er omfattet af fusionen, skal oplyses.</w:t>
      </w:r>
    </w:p>
    <w:p w:rsidR="001E3F5C" w:rsidRPr="00DC13EC" w:rsidRDefault="001E3F5C" w:rsidP="001E3F5C">
      <w:pPr>
        <w:spacing w:after="0" w:line="240" w:lineRule="auto"/>
        <w:ind w:left="640"/>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4"/>
            <w:enabled/>
            <w:calcOnExit w:val="0"/>
            <w:textInput/>
          </w:ffData>
        </w:fldChar>
      </w:r>
      <w:bookmarkStart w:id="4" w:name="Tekst4"/>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bookmarkEnd w:id="4"/>
    </w:p>
    <w:p w:rsidR="001E3F5C" w:rsidRPr="00DC13EC" w:rsidRDefault="001E3F5C" w:rsidP="001E3F5C">
      <w:pPr>
        <w:pStyle w:val="Listeafsnit"/>
        <w:numPr>
          <w:ilvl w:val="0"/>
          <w:numId w:val="1"/>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Kontaktpersonens navn og stilling, adresse, telefonnummer og e-mail-adresse.</w:t>
      </w:r>
    </w:p>
    <w:p w:rsidR="001E3F5C" w:rsidRPr="00DC13EC" w:rsidRDefault="001E3F5C" w:rsidP="001E3F5C">
      <w:pPr>
        <w:spacing w:after="0" w:line="240" w:lineRule="auto"/>
        <w:ind w:firstLine="640"/>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5"/>
            <w:enabled/>
            <w:calcOnExit w:val="0"/>
            <w:textInput/>
          </w:ffData>
        </w:fldChar>
      </w:r>
      <w:bookmarkStart w:id="5" w:name="Tekst5"/>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bookmarkEnd w:id="5"/>
    </w:p>
    <w:p w:rsidR="001E3F5C" w:rsidRPr="00DC13EC" w:rsidRDefault="001E3F5C" w:rsidP="001E3F5C">
      <w:pPr>
        <w:pStyle w:val="Listeafsnit"/>
        <w:numPr>
          <w:ilvl w:val="0"/>
          <w:numId w:val="1"/>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Den adresse, hvortil der kan sendes dokumenter, herunder beslutninger og afgørelser fra Konkurrencerådet og Konkurrence- og Forbrugerstyrelsen.</w:t>
      </w:r>
    </w:p>
    <w:p w:rsidR="001E3F5C" w:rsidRPr="00DC13EC" w:rsidRDefault="001E3F5C" w:rsidP="001E3F5C">
      <w:pPr>
        <w:spacing w:after="0" w:line="240" w:lineRule="auto"/>
        <w:ind w:firstLine="640"/>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6"/>
            <w:enabled/>
            <w:calcOnExit w:val="0"/>
            <w:textInput/>
          </w:ffData>
        </w:fldChar>
      </w:r>
      <w:bookmarkStart w:id="6" w:name="Tekst6"/>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bookmarkEnd w:id="6"/>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bCs/>
          <w:color w:val="000000"/>
          <w:lang w:eastAsia="da-DK"/>
        </w:rPr>
      </w:pPr>
      <w:r w:rsidRPr="00DC13EC">
        <w:rPr>
          <w:rFonts w:ascii="Times New Roman" w:eastAsia="Times New Roman" w:hAnsi="Times New Roman" w:cs="Times New Roman"/>
          <w:b/>
          <w:bCs/>
          <w:color w:val="000000"/>
          <w:lang w:eastAsia="da-DK"/>
        </w:rPr>
        <w:t>2.2.</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Oplysninger om de øvrige fusionsparter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For hver enkelt af de øvrige fusionsparter udover anmelder oplyses:</w:t>
      </w:r>
    </w:p>
    <w:p w:rsidR="001E3F5C" w:rsidRPr="00DC13EC" w:rsidRDefault="001E3F5C" w:rsidP="001E3F5C">
      <w:pPr>
        <w:pStyle w:val="Listeafsnit"/>
        <w:numPr>
          <w:ilvl w:val="0"/>
          <w:numId w:val="2"/>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Virksomhedens navn og adresse.</w:t>
      </w:r>
    </w:p>
    <w:p w:rsidR="001E3F5C" w:rsidRPr="00DC13EC" w:rsidRDefault="001E3F5C" w:rsidP="001E3F5C">
      <w:pPr>
        <w:spacing w:after="0" w:line="240" w:lineRule="auto"/>
        <w:ind w:firstLine="640"/>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8"/>
            <w:enabled/>
            <w:calcOnExit w:val="0"/>
            <w:textInput/>
          </w:ffData>
        </w:fldChar>
      </w:r>
      <w:bookmarkStart w:id="7" w:name="Tekst8"/>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sidR="006145DA">
        <w:rPr>
          <w:rFonts w:ascii="Times New Roman" w:eastAsia="Times New Roman" w:hAnsi="Times New Roman" w:cs="Times New Roman"/>
          <w:color w:val="000000"/>
          <w:lang w:eastAsia="da-DK"/>
        </w:rPr>
        <w:t> </w:t>
      </w:r>
      <w:r w:rsidR="006145DA">
        <w:rPr>
          <w:rFonts w:ascii="Times New Roman" w:eastAsia="Times New Roman" w:hAnsi="Times New Roman" w:cs="Times New Roman"/>
          <w:color w:val="000000"/>
          <w:lang w:eastAsia="da-DK"/>
        </w:rPr>
        <w:t> </w:t>
      </w:r>
      <w:r w:rsidR="006145DA">
        <w:rPr>
          <w:rFonts w:ascii="Times New Roman" w:eastAsia="Times New Roman" w:hAnsi="Times New Roman" w:cs="Times New Roman"/>
          <w:color w:val="000000"/>
          <w:lang w:eastAsia="da-DK"/>
        </w:rPr>
        <w:t> </w:t>
      </w:r>
      <w:r w:rsidR="006145DA">
        <w:rPr>
          <w:rFonts w:ascii="Times New Roman" w:eastAsia="Times New Roman" w:hAnsi="Times New Roman" w:cs="Times New Roman"/>
          <w:color w:val="000000"/>
          <w:lang w:eastAsia="da-DK"/>
        </w:rPr>
        <w:t> </w:t>
      </w:r>
      <w:r w:rsidR="006145DA">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bookmarkEnd w:id="7"/>
    </w:p>
    <w:p w:rsidR="001E3F5C" w:rsidRPr="00DC13EC" w:rsidRDefault="001E3F5C" w:rsidP="001E3F5C">
      <w:pPr>
        <w:pStyle w:val="Listeafsnit"/>
        <w:numPr>
          <w:ilvl w:val="0"/>
          <w:numId w:val="2"/>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Fusionsparternes aktiviteter.</w:t>
      </w:r>
    </w:p>
    <w:p w:rsidR="001E3F5C" w:rsidRPr="00DC13EC" w:rsidRDefault="001E3F5C" w:rsidP="001E3F5C">
      <w:pPr>
        <w:spacing w:after="0" w:line="240" w:lineRule="auto"/>
        <w:ind w:firstLine="640"/>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8"/>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sidR="006145DA">
        <w:rPr>
          <w:rFonts w:ascii="Times New Roman" w:eastAsia="Times New Roman" w:hAnsi="Times New Roman" w:cs="Times New Roman"/>
          <w:color w:val="000000"/>
          <w:lang w:eastAsia="da-DK"/>
        </w:rPr>
        <w:t> </w:t>
      </w:r>
      <w:r w:rsidR="006145DA">
        <w:rPr>
          <w:rFonts w:ascii="Times New Roman" w:eastAsia="Times New Roman" w:hAnsi="Times New Roman" w:cs="Times New Roman"/>
          <w:color w:val="000000"/>
          <w:lang w:eastAsia="da-DK"/>
        </w:rPr>
        <w:t> </w:t>
      </w:r>
      <w:r w:rsidR="006145DA">
        <w:rPr>
          <w:rFonts w:ascii="Times New Roman" w:eastAsia="Times New Roman" w:hAnsi="Times New Roman" w:cs="Times New Roman"/>
          <w:color w:val="000000"/>
          <w:lang w:eastAsia="da-DK"/>
        </w:rPr>
        <w:t> </w:t>
      </w:r>
      <w:r w:rsidR="006145DA">
        <w:rPr>
          <w:rFonts w:ascii="Times New Roman" w:eastAsia="Times New Roman" w:hAnsi="Times New Roman" w:cs="Times New Roman"/>
          <w:color w:val="000000"/>
          <w:lang w:eastAsia="da-DK"/>
        </w:rPr>
        <w:t> </w:t>
      </w:r>
      <w:r w:rsidR="006145DA">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2"/>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Kontaktpersonens navn og stilling, adresse, telefonnummer og e-mail-adresse.</w:t>
      </w:r>
    </w:p>
    <w:p w:rsidR="001E3F5C" w:rsidRPr="00DC13EC" w:rsidRDefault="001E3F5C" w:rsidP="001E3F5C">
      <w:pPr>
        <w:spacing w:after="0" w:line="240" w:lineRule="auto"/>
        <w:ind w:firstLine="640"/>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lastRenderedPageBreak/>
        <w:fldChar w:fldCharType="begin">
          <w:ffData>
            <w:name w:val="Tekst8"/>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sidR="006145DA">
        <w:rPr>
          <w:rFonts w:ascii="Times New Roman" w:eastAsia="Times New Roman" w:hAnsi="Times New Roman" w:cs="Times New Roman"/>
          <w:color w:val="000000"/>
          <w:lang w:eastAsia="da-DK"/>
        </w:rPr>
        <w:t> </w:t>
      </w:r>
      <w:r w:rsidR="006145DA">
        <w:rPr>
          <w:rFonts w:ascii="Times New Roman" w:eastAsia="Times New Roman" w:hAnsi="Times New Roman" w:cs="Times New Roman"/>
          <w:color w:val="000000"/>
          <w:lang w:eastAsia="da-DK"/>
        </w:rPr>
        <w:t> </w:t>
      </w:r>
      <w:r w:rsidR="006145DA">
        <w:rPr>
          <w:rFonts w:ascii="Times New Roman" w:eastAsia="Times New Roman" w:hAnsi="Times New Roman" w:cs="Times New Roman"/>
          <w:color w:val="000000"/>
          <w:lang w:eastAsia="da-DK"/>
        </w:rPr>
        <w:t> </w:t>
      </w:r>
      <w:r w:rsidR="006145DA">
        <w:rPr>
          <w:rFonts w:ascii="Times New Roman" w:eastAsia="Times New Roman" w:hAnsi="Times New Roman" w:cs="Times New Roman"/>
          <w:color w:val="000000"/>
          <w:lang w:eastAsia="da-DK"/>
        </w:rPr>
        <w:t> </w:t>
      </w:r>
      <w:r w:rsidR="006145DA">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2.3.</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Oplysninger om repræsentanter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Hvis anmeldelsen er undertegnet af repræsentanter for virksomhederne, skal hver repræsentants navn, adresse, telefonnummer og e-mail-adresse oplyses med angivelse af, hvilke af fusionsparterne denne repræsenterer.</w:t>
      </w:r>
    </w:p>
    <w:p w:rsidR="001E3F5C" w:rsidRPr="00DC13EC" w:rsidRDefault="001E3F5C" w:rsidP="001E3F5C">
      <w:pPr>
        <w:rPr>
          <w:rFonts w:ascii="Times New Roman" w:hAnsi="Times New Roman" w:cs="Times New Roman"/>
          <w:lang w:eastAsia="da-DK"/>
        </w:rPr>
      </w:pPr>
      <w:r w:rsidRPr="00DC13EC">
        <w:rPr>
          <w:rFonts w:ascii="Times New Roman" w:hAnsi="Times New Roman" w:cs="Times New Roman"/>
          <w:lang w:eastAsia="da-DK"/>
        </w:rPr>
        <w:fldChar w:fldCharType="begin">
          <w:ffData>
            <w:name w:val="Tekst8"/>
            <w:enabled/>
            <w:calcOnExit w:val="0"/>
            <w:textInput/>
          </w:ffData>
        </w:fldChar>
      </w:r>
      <w:r w:rsidRPr="00DC13EC">
        <w:rPr>
          <w:rFonts w:ascii="Times New Roman" w:hAnsi="Times New Roman" w:cs="Times New Roman"/>
          <w:lang w:eastAsia="da-DK"/>
        </w:rPr>
        <w:instrText xml:space="preserve"> FORMTEXT </w:instrText>
      </w:r>
      <w:r w:rsidRPr="00DC13EC">
        <w:rPr>
          <w:rFonts w:ascii="Times New Roman" w:hAnsi="Times New Roman" w:cs="Times New Roman"/>
          <w:lang w:eastAsia="da-DK"/>
        </w:rPr>
      </w:r>
      <w:r w:rsidRPr="00DC13EC">
        <w:rPr>
          <w:rFonts w:ascii="Times New Roman" w:hAnsi="Times New Roman" w:cs="Times New Roman"/>
          <w:lang w:eastAsia="da-DK"/>
        </w:rPr>
        <w:fldChar w:fldCharType="separate"/>
      </w:r>
      <w:r>
        <w:rPr>
          <w:rFonts w:ascii="Times New Roman" w:hAnsi="Times New Roman" w:cs="Times New Roman"/>
          <w:lang w:eastAsia="da-DK"/>
        </w:rPr>
        <w:t> </w:t>
      </w:r>
      <w:r>
        <w:rPr>
          <w:rFonts w:ascii="Times New Roman" w:hAnsi="Times New Roman" w:cs="Times New Roman"/>
          <w:lang w:eastAsia="da-DK"/>
        </w:rPr>
        <w:t> </w:t>
      </w:r>
      <w:r>
        <w:rPr>
          <w:rFonts w:ascii="Times New Roman" w:hAnsi="Times New Roman" w:cs="Times New Roman"/>
          <w:lang w:eastAsia="da-DK"/>
        </w:rPr>
        <w:t> </w:t>
      </w:r>
      <w:r>
        <w:rPr>
          <w:rFonts w:ascii="Times New Roman" w:hAnsi="Times New Roman" w:cs="Times New Roman"/>
          <w:lang w:eastAsia="da-DK"/>
        </w:rPr>
        <w:t> </w:t>
      </w:r>
      <w:r>
        <w:rPr>
          <w:rFonts w:ascii="Times New Roman" w:hAnsi="Times New Roman" w:cs="Times New Roman"/>
          <w:lang w:eastAsia="da-DK"/>
        </w:rPr>
        <w:t> </w:t>
      </w:r>
      <w:r w:rsidRPr="00DC13EC">
        <w:rPr>
          <w:rFonts w:ascii="Times New Roman" w:hAnsi="Times New Roman" w:cs="Times New Roman"/>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3.</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Anmeldelse til andre konkurrencemyndigheder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Hvis fusionen er anmeldt eller vil blive anmeldt til andre konkurrencemyndigheder, herunder Europa-Kommissionen, oplyses dette med angivelse af navnene på disse konkurrencemyndigheder samt evt. kontaktperson.</w:t>
      </w:r>
    </w:p>
    <w:p w:rsidR="001E3F5C" w:rsidRPr="00DC13EC" w:rsidRDefault="001E3F5C" w:rsidP="001E3F5C">
      <w:pPr>
        <w:rPr>
          <w:rFonts w:ascii="Times New Roman" w:hAnsi="Times New Roman" w:cs="Times New Roman"/>
          <w:lang w:eastAsia="da-DK"/>
        </w:rPr>
      </w:pPr>
      <w:r w:rsidRPr="00DC13EC">
        <w:rPr>
          <w:rFonts w:ascii="Times New Roman" w:hAnsi="Times New Roman" w:cs="Times New Roman"/>
          <w:lang w:eastAsia="da-DK"/>
        </w:rPr>
        <w:fldChar w:fldCharType="begin">
          <w:ffData>
            <w:name w:val="Tekst8"/>
            <w:enabled/>
            <w:calcOnExit w:val="0"/>
            <w:textInput/>
          </w:ffData>
        </w:fldChar>
      </w:r>
      <w:r w:rsidRPr="00DC13EC">
        <w:rPr>
          <w:rFonts w:ascii="Times New Roman" w:hAnsi="Times New Roman" w:cs="Times New Roman"/>
          <w:lang w:eastAsia="da-DK"/>
        </w:rPr>
        <w:instrText xml:space="preserve"> FORMTEXT </w:instrText>
      </w:r>
      <w:r w:rsidRPr="00DC13EC">
        <w:rPr>
          <w:rFonts w:ascii="Times New Roman" w:hAnsi="Times New Roman" w:cs="Times New Roman"/>
          <w:lang w:eastAsia="da-DK"/>
        </w:rPr>
      </w:r>
      <w:r w:rsidRPr="00DC13EC">
        <w:rPr>
          <w:rFonts w:ascii="Times New Roman" w:hAnsi="Times New Roman" w:cs="Times New Roman"/>
          <w:lang w:eastAsia="da-DK"/>
        </w:rPr>
        <w:fldChar w:fldCharType="separate"/>
      </w:r>
      <w:r>
        <w:rPr>
          <w:rFonts w:ascii="Times New Roman" w:hAnsi="Times New Roman" w:cs="Times New Roman"/>
          <w:lang w:eastAsia="da-DK"/>
        </w:rPr>
        <w:t> </w:t>
      </w:r>
      <w:r>
        <w:rPr>
          <w:rFonts w:ascii="Times New Roman" w:hAnsi="Times New Roman" w:cs="Times New Roman"/>
          <w:lang w:eastAsia="da-DK"/>
        </w:rPr>
        <w:t> </w:t>
      </w:r>
      <w:r>
        <w:rPr>
          <w:rFonts w:ascii="Times New Roman" w:hAnsi="Times New Roman" w:cs="Times New Roman"/>
          <w:lang w:eastAsia="da-DK"/>
        </w:rPr>
        <w:t> </w:t>
      </w:r>
      <w:r>
        <w:rPr>
          <w:rFonts w:ascii="Times New Roman" w:hAnsi="Times New Roman" w:cs="Times New Roman"/>
          <w:lang w:eastAsia="da-DK"/>
        </w:rPr>
        <w:t> </w:t>
      </w:r>
      <w:r>
        <w:rPr>
          <w:rFonts w:ascii="Times New Roman" w:hAnsi="Times New Roman" w:cs="Times New Roman"/>
          <w:lang w:eastAsia="da-DK"/>
        </w:rPr>
        <w:t> </w:t>
      </w:r>
      <w:r w:rsidRPr="00DC13EC">
        <w:rPr>
          <w:rFonts w:ascii="Times New Roman" w:hAnsi="Times New Roman" w:cs="Times New Roman"/>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4.</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Oplysninger om selve fusionen</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4.1.</w:t>
      </w:r>
      <w:r w:rsidRPr="00DC13EC">
        <w:rPr>
          <w:rFonts w:ascii="Times New Roman" w:eastAsia="Times New Roman" w:hAnsi="Times New Roman" w:cs="Times New Roman"/>
          <w:b/>
          <w:color w:val="000000"/>
          <w:lang w:eastAsia="da-DK"/>
        </w:rPr>
        <w:t xml:space="preserve"> Beskriv fusionen med angivelse af:</w:t>
      </w:r>
    </w:p>
    <w:p w:rsidR="001E3F5C" w:rsidRPr="00DC13EC" w:rsidRDefault="001E3F5C" w:rsidP="001E3F5C">
      <w:pPr>
        <w:pStyle w:val="liste1"/>
        <w:numPr>
          <w:ilvl w:val="0"/>
          <w:numId w:val="5"/>
        </w:numPr>
        <w:rPr>
          <w:rFonts w:ascii="Times New Roman" w:hAnsi="Times New Roman" w:cs="Times New Roman"/>
          <w:b/>
          <w:sz w:val="22"/>
          <w:szCs w:val="22"/>
        </w:rPr>
      </w:pPr>
      <w:r w:rsidRPr="00DC13EC">
        <w:rPr>
          <w:rFonts w:ascii="Times New Roman" w:hAnsi="Times New Roman" w:cs="Times New Roman"/>
          <w:b/>
          <w:sz w:val="22"/>
          <w:szCs w:val="22"/>
        </w:rPr>
        <w:t>Om fusionen udgør en sammensmeltning af to eller flere hidtil uafhængige virksomheder, erhvervelse af den direkte eller indirekte kontrol over hele eller dele af en eller flere andre virksomheder, oprettelsen af et selvstændigt fungerende joint venture eller, om fusionen på anden måde vil føre til afgørende indflydelse på virksomhedens drift, jf. konkurrencelovens § 12 a, stk. 3.</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8"/>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1"/>
        <w:numPr>
          <w:ilvl w:val="0"/>
          <w:numId w:val="5"/>
        </w:numPr>
        <w:rPr>
          <w:rFonts w:ascii="Times New Roman" w:hAnsi="Times New Roman" w:cs="Times New Roman"/>
          <w:b/>
          <w:sz w:val="22"/>
          <w:szCs w:val="22"/>
        </w:rPr>
      </w:pPr>
      <w:r w:rsidRPr="00DC13EC">
        <w:rPr>
          <w:rFonts w:ascii="Times New Roman" w:hAnsi="Times New Roman" w:cs="Times New Roman"/>
          <w:b/>
          <w:sz w:val="22"/>
          <w:szCs w:val="22"/>
        </w:rPr>
        <w:t>De planlagte eller forventede tidspunkter for vigtige begivenheder, som vil lede til fusionens gennemførelse.</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8"/>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1"/>
        <w:numPr>
          <w:ilvl w:val="0"/>
          <w:numId w:val="5"/>
        </w:numPr>
        <w:rPr>
          <w:rFonts w:ascii="Times New Roman" w:hAnsi="Times New Roman" w:cs="Times New Roman"/>
          <w:b/>
          <w:sz w:val="22"/>
          <w:szCs w:val="22"/>
        </w:rPr>
      </w:pPr>
      <w:r w:rsidRPr="00DC13EC">
        <w:rPr>
          <w:rFonts w:ascii="Times New Roman" w:hAnsi="Times New Roman" w:cs="Times New Roman"/>
          <w:b/>
          <w:sz w:val="22"/>
          <w:szCs w:val="22"/>
        </w:rPr>
        <w:t>De planlagte ejer- og kontrolforhold efter fusionen.</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8"/>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1"/>
        <w:numPr>
          <w:ilvl w:val="0"/>
          <w:numId w:val="5"/>
        </w:numPr>
        <w:rPr>
          <w:rFonts w:ascii="Times New Roman" w:hAnsi="Times New Roman" w:cs="Times New Roman"/>
          <w:b/>
          <w:sz w:val="22"/>
          <w:szCs w:val="22"/>
        </w:rPr>
      </w:pPr>
      <w:r w:rsidRPr="00DC13EC">
        <w:rPr>
          <w:rFonts w:ascii="Times New Roman" w:hAnsi="Times New Roman" w:cs="Times New Roman"/>
          <w:b/>
          <w:sz w:val="22"/>
          <w:szCs w:val="22"/>
        </w:rPr>
        <w:t>Transaktionens værdi (købsprisen eller alle de involverede aktivers værdi).</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8"/>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1"/>
        <w:numPr>
          <w:ilvl w:val="0"/>
          <w:numId w:val="5"/>
        </w:numPr>
        <w:rPr>
          <w:rFonts w:ascii="Times New Roman" w:hAnsi="Times New Roman" w:cs="Times New Roman"/>
          <w:b/>
          <w:sz w:val="22"/>
          <w:szCs w:val="22"/>
        </w:rPr>
      </w:pPr>
      <w:r w:rsidRPr="00DC13EC">
        <w:rPr>
          <w:rFonts w:ascii="Times New Roman" w:hAnsi="Times New Roman" w:cs="Times New Roman"/>
          <w:b/>
          <w:sz w:val="22"/>
          <w:szCs w:val="22"/>
        </w:rPr>
        <w:t>Hvilke branchekoder (NACE-koder) fusionen omfatter.</w:t>
      </w:r>
    </w:p>
    <w:p w:rsidR="001E3F5C" w:rsidRPr="00DC13EC" w:rsidRDefault="001E3F5C" w:rsidP="001E3F5C">
      <w:pPr>
        <w:spacing w:after="0" w:line="240" w:lineRule="auto"/>
        <w:ind w:firstLine="720"/>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8"/>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4.2.</w:t>
      </w:r>
      <w:r w:rsidRPr="00DC13EC">
        <w:rPr>
          <w:rFonts w:ascii="Times New Roman" w:eastAsia="Times New Roman" w:hAnsi="Times New Roman" w:cs="Times New Roman"/>
          <w:b/>
          <w:color w:val="000000"/>
          <w:lang w:eastAsia="da-DK"/>
        </w:rPr>
        <w:t xml:space="preserve"> Oplys den økonomiske baggrund for fusionen.</w:t>
      </w:r>
    </w:p>
    <w:p w:rsidR="001E3F5C" w:rsidRPr="00DC13EC" w:rsidRDefault="001E3F5C" w:rsidP="001E3F5C">
      <w:pPr>
        <w:rPr>
          <w:rFonts w:ascii="Times New Roman" w:hAnsi="Times New Roman" w:cs="Times New Roman"/>
          <w:lang w:eastAsia="da-DK"/>
        </w:rPr>
      </w:pPr>
      <w:r w:rsidRPr="00DC13EC">
        <w:rPr>
          <w:rFonts w:ascii="Times New Roman" w:hAnsi="Times New Roman" w:cs="Times New Roman"/>
          <w:lang w:eastAsia="da-DK"/>
        </w:rPr>
        <w:fldChar w:fldCharType="begin">
          <w:ffData>
            <w:name w:val="Tekst8"/>
            <w:enabled/>
            <w:calcOnExit w:val="0"/>
            <w:textInput/>
          </w:ffData>
        </w:fldChar>
      </w:r>
      <w:r w:rsidRPr="00DC13EC">
        <w:rPr>
          <w:rFonts w:ascii="Times New Roman" w:hAnsi="Times New Roman" w:cs="Times New Roman"/>
          <w:lang w:eastAsia="da-DK"/>
        </w:rPr>
        <w:instrText xml:space="preserve"> FORMTEXT </w:instrText>
      </w:r>
      <w:r w:rsidRPr="00DC13EC">
        <w:rPr>
          <w:rFonts w:ascii="Times New Roman" w:hAnsi="Times New Roman" w:cs="Times New Roman"/>
          <w:lang w:eastAsia="da-DK"/>
        </w:rPr>
      </w:r>
      <w:r w:rsidRPr="00DC13EC">
        <w:rPr>
          <w:rFonts w:ascii="Times New Roman" w:hAnsi="Times New Roman" w:cs="Times New Roman"/>
          <w:lang w:eastAsia="da-DK"/>
        </w:rPr>
        <w:fldChar w:fldCharType="separate"/>
      </w:r>
      <w:r>
        <w:rPr>
          <w:rFonts w:ascii="Times New Roman" w:hAnsi="Times New Roman" w:cs="Times New Roman"/>
          <w:lang w:eastAsia="da-DK"/>
        </w:rPr>
        <w:t> </w:t>
      </w:r>
      <w:r>
        <w:rPr>
          <w:rFonts w:ascii="Times New Roman" w:hAnsi="Times New Roman" w:cs="Times New Roman"/>
          <w:lang w:eastAsia="da-DK"/>
        </w:rPr>
        <w:t> </w:t>
      </w:r>
      <w:r>
        <w:rPr>
          <w:rFonts w:ascii="Times New Roman" w:hAnsi="Times New Roman" w:cs="Times New Roman"/>
          <w:lang w:eastAsia="da-DK"/>
        </w:rPr>
        <w:t> </w:t>
      </w:r>
      <w:r>
        <w:rPr>
          <w:rFonts w:ascii="Times New Roman" w:hAnsi="Times New Roman" w:cs="Times New Roman"/>
          <w:lang w:eastAsia="da-DK"/>
        </w:rPr>
        <w:t> </w:t>
      </w:r>
      <w:r>
        <w:rPr>
          <w:rFonts w:ascii="Times New Roman" w:hAnsi="Times New Roman" w:cs="Times New Roman"/>
          <w:lang w:eastAsia="da-DK"/>
        </w:rPr>
        <w:t> </w:t>
      </w:r>
      <w:r w:rsidRPr="00DC13EC">
        <w:rPr>
          <w:rFonts w:ascii="Times New Roman" w:hAnsi="Times New Roman" w:cs="Times New Roman"/>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5.</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Økonomiske oplysninger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Oplys i DKK for hver af de deltagende virksomheder for det seneste regnskabsår:</w:t>
      </w:r>
    </w:p>
    <w:p w:rsidR="001E3F5C" w:rsidRPr="00DC13EC" w:rsidRDefault="001E3F5C" w:rsidP="001E3F5C">
      <w:pPr>
        <w:pStyle w:val="Listeafsnit"/>
        <w:numPr>
          <w:ilvl w:val="0"/>
          <w:numId w:val="3"/>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Omsætning i Danmark.</w:t>
      </w:r>
    </w:p>
    <w:p w:rsidR="001E3F5C" w:rsidRPr="00DC13EC" w:rsidRDefault="001E3F5C" w:rsidP="001E3F5C">
      <w:pPr>
        <w:spacing w:after="0" w:line="240" w:lineRule="auto"/>
        <w:ind w:firstLine="640"/>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9"/>
            <w:enabled/>
            <w:calcOnExit w:val="0"/>
            <w:textInput/>
          </w:ffData>
        </w:fldChar>
      </w:r>
      <w:bookmarkStart w:id="8" w:name="Tekst9"/>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bookmarkEnd w:id="8"/>
    </w:p>
    <w:p w:rsidR="001E3F5C" w:rsidRPr="00DC13EC" w:rsidRDefault="001E3F5C" w:rsidP="001E3F5C">
      <w:pPr>
        <w:pStyle w:val="Listeafsnit"/>
        <w:numPr>
          <w:ilvl w:val="0"/>
          <w:numId w:val="3"/>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Omsætning i EU.</w:t>
      </w:r>
    </w:p>
    <w:p w:rsidR="001E3F5C" w:rsidRPr="00DC13EC" w:rsidRDefault="001E3F5C" w:rsidP="001E3F5C">
      <w:pPr>
        <w:spacing w:after="0" w:line="240" w:lineRule="auto"/>
        <w:ind w:firstLine="640"/>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0"/>
            <w:enabled/>
            <w:calcOnExit w:val="0"/>
            <w:textInput/>
          </w:ffData>
        </w:fldChar>
      </w:r>
      <w:bookmarkStart w:id="9" w:name="Tekst10"/>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bookmarkEnd w:id="9"/>
    </w:p>
    <w:p w:rsidR="001E3F5C" w:rsidRPr="00DC13EC" w:rsidRDefault="001E3F5C" w:rsidP="001E3F5C">
      <w:pPr>
        <w:pStyle w:val="Listeafsnit"/>
        <w:numPr>
          <w:ilvl w:val="0"/>
          <w:numId w:val="3"/>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Omsætning på verdensplan.</w:t>
      </w:r>
    </w:p>
    <w:p w:rsidR="001E3F5C" w:rsidRPr="00DC13EC" w:rsidRDefault="001E3F5C" w:rsidP="001E3F5C">
      <w:pPr>
        <w:spacing w:after="0" w:line="240" w:lineRule="auto"/>
        <w:ind w:firstLine="640"/>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lastRenderedPageBreak/>
        <w:fldChar w:fldCharType="begin">
          <w:ffData>
            <w:name w:val="Tekst11"/>
            <w:enabled/>
            <w:calcOnExit w:val="0"/>
            <w:textInput/>
          </w:ffData>
        </w:fldChar>
      </w:r>
      <w:bookmarkStart w:id="10" w:name="Tekst11"/>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bookmarkEnd w:id="10"/>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6.</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Ejer- og kontrolforhold</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6.1.</w:t>
      </w:r>
      <w:r w:rsidRPr="00DC13EC">
        <w:rPr>
          <w:rFonts w:ascii="Times New Roman" w:eastAsia="Times New Roman" w:hAnsi="Times New Roman" w:cs="Times New Roman"/>
          <w:b/>
          <w:color w:val="000000"/>
          <w:lang w:eastAsia="da-DK"/>
        </w:rPr>
        <w:t xml:space="preserve"> For hver af fusionsparterne angives en liste over alle virksomheder, der tilhører samme koncern. Denne liste skal omfatte:</w:t>
      </w:r>
    </w:p>
    <w:p w:rsidR="001E3F5C" w:rsidRPr="00DC13EC" w:rsidRDefault="001E3F5C" w:rsidP="001E3F5C">
      <w:pPr>
        <w:pStyle w:val="Listeafsnit"/>
        <w:numPr>
          <w:ilvl w:val="0"/>
          <w:numId w:val="6"/>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Alle virksomheder eller personer, der direkte eller indirekte kontrollerer fusionsparterne.</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2"/>
            <w:enabled/>
            <w:calcOnExit w:val="0"/>
            <w:textInput/>
          </w:ffData>
        </w:fldChar>
      </w:r>
      <w:bookmarkStart w:id="11" w:name="Tekst12"/>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bookmarkEnd w:id="11"/>
    </w:p>
    <w:p w:rsidR="001E3F5C" w:rsidRPr="00DC13EC" w:rsidRDefault="001E3F5C" w:rsidP="001E3F5C">
      <w:pPr>
        <w:pStyle w:val="Listeafsnit"/>
        <w:numPr>
          <w:ilvl w:val="0"/>
          <w:numId w:val="6"/>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Alle virksomheder, der er aktive på et af de markeder, der er oplyst i punkt 7.1 og 7.2 nedenfor, og som direkte eller indirekte kontrolleres af:</w:t>
      </w:r>
    </w:p>
    <w:p w:rsidR="001E3F5C" w:rsidRPr="00BE0A80" w:rsidRDefault="001E3F5C" w:rsidP="001E3F5C">
      <w:pPr>
        <w:pStyle w:val="Listeafsnit"/>
        <w:numPr>
          <w:ilvl w:val="0"/>
          <w:numId w:val="16"/>
        </w:numPr>
        <w:spacing w:after="0" w:line="240" w:lineRule="auto"/>
        <w:jc w:val="both"/>
        <w:rPr>
          <w:rFonts w:ascii="Times New Roman" w:eastAsia="Times New Roman" w:hAnsi="Times New Roman" w:cs="Times New Roman"/>
          <w:b/>
          <w:color w:val="000000"/>
          <w:lang w:eastAsia="da-DK"/>
        </w:rPr>
      </w:pPr>
      <w:r w:rsidRPr="00BE0A80">
        <w:rPr>
          <w:rFonts w:ascii="Times New Roman" w:eastAsia="Times New Roman" w:hAnsi="Times New Roman" w:cs="Times New Roman"/>
          <w:b/>
          <w:color w:val="000000"/>
          <w:lang w:eastAsia="da-DK"/>
        </w:rPr>
        <w:t>En eller flere af fusionsparterne.</w:t>
      </w:r>
    </w:p>
    <w:p w:rsidR="001E3F5C" w:rsidRPr="00BE0A80" w:rsidRDefault="001E3F5C" w:rsidP="001E3F5C">
      <w:pPr>
        <w:pStyle w:val="Listeafsnit"/>
        <w:spacing w:after="0" w:line="240" w:lineRule="auto"/>
        <w:ind w:left="1080"/>
        <w:jc w:val="both"/>
        <w:rPr>
          <w:rFonts w:ascii="Times New Roman" w:eastAsia="Times New Roman" w:hAnsi="Times New Roman" w:cs="Times New Roman"/>
          <w:color w:val="000000"/>
          <w:lang w:eastAsia="da-DK"/>
        </w:rPr>
      </w:pPr>
      <w:r w:rsidRPr="00BE0A80">
        <w:rPr>
          <w:rFonts w:ascii="Times New Roman" w:eastAsia="Times New Roman" w:hAnsi="Times New Roman" w:cs="Times New Roman"/>
          <w:color w:val="000000"/>
          <w:lang w:eastAsia="da-DK"/>
        </w:rPr>
        <w:fldChar w:fldCharType="begin">
          <w:ffData>
            <w:name w:val="Tekst13"/>
            <w:enabled/>
            <w:calcOnExit w:val="0"/>
            <w:textInput/>
          </w:ffData>
        </w:fldChar>
      </w:r>
      <w:bookmarkStart w:id="12" w:name="Tekst13"/>
      <w:r w:rsidRPr="00BE0A80">
        <w:rPr>
          <w:rFonts w:ascii="Times New Roman" w:eastAsia="Times New Roman" w:hAnsi="Times New Roman" w:cs="Times New Roman"/>
          <w:color w:val="000000"/>
          <w:lang w:eastAsia="da-DK"/>
        </w:rPr>
        <w:instrText xml:space="preserve"> FORMTEXT </w:instrText>
      </w:r>
      <w:r w:rsidRPr="00BE0A80">
        <w:rPr>
          <w:rFonts w:ascii="Times New Roman" w:eastAsia="Times New Roman" w:hAnsi="Times New Roman" w:cs="Times New Roman"/>
          <w:color w:val="000000"/>
          <w:lang w:eastAsia="da-DK"/>
        </w:rPr>
      </w:r>
      <w:r w:rsidRPr="00BE0A80">
        <w:rPr>
          <w:rFonts w:ascii="Times New Roman" w:eastAsia="Times New Roman" w:hAnsi="Times New Roman" w:cs="Times New Roman"/>
          <w:color w:val="000000"/>
          <w:lang w:eastAsia="da-DK"/>
        </w:rPr>
        <w:fldChar w:fldCharType="separate"/>
      </w:r>
      <w:r w:rsidRPr="00BE0A80">
        <w:rPr>
          <w:rFonts w:ascii="Times New Roman" w:hAnsi="Times New Roman" w:cs="Times New Roman"/>
          <w:lang w:eastAsia="da-DK"/>
        </w:rPr>
        <w:t> </w:t>
      </w:r>
      <w:r w:rsidRPr="00BE0A80">
        <w:rPr>
          <w:rFonts w:ascii="Times New Roman" w:hAnsi="Times New Roman" w:cs="Times New Roman"/>
          <w:lang w:eastAsia="da-DK"/>
        </w:rPr>
        <w:t> </w:t>
      </w:r>
      <w:r w:rsidRPr="00BE0A80">
        <w:rPr>
          <w:rFonts w:ascii="Times New Roman" w:hAnsi="Times New Roman" w:cs="Times New Roman"/>
          <w:lang w:eastAsia="da-DK"/>
        </w:rPr>
        <w:t> </w:t>
      </w:r>
      <w:r w:rsidRPr="00BE0A80">
        <w:rPr>
          <w:rFonts w:ascii="Times New Roman" w:hAnsi="Times New Roman" w:cs="Times New Roman"/>
          <w:lang w:eastAsia="da-DK"/>
        </w:rPr>
        <w:t> </w:t>
      </w:r>
      <w:r w:rsidRPr="00BE0A80">
        <w:rPr>
          <w:rFonts w:ascii="Times New Roman" w:hAnsi="Times New Roman" w:cs="Times New Roman"/>
          <w:lang w:eastAsia="da-DK"/>
        </w:rPr>
        <w:t> </w:t>
      </w:r>
      <w:r w:rsidRPr="00BE0A80">
        <w:rPr>
          <w:rFonts w:ascii="Times New Roman" w:eastAsia="Times New Roman" w:hAnsi="Times New Roman" w:cs="Times New Roman"/>
          <w:color w:val="000000"/>
          <w:lang w:eastAsia="da-DK"/>
        </w:rPr>
        <w:fldChar w:fldCharType="end"/>
      </w:r>
      <w:bookmarkEnd w:id="12"/>
    </w:p>
    <w:p w:rsidR="001E3F5C" w:rsidRPr="00BE0A80" w:rsidRDefault="001E3F5C" w:rsidP="001E3F5C">
      <w:pPr>
        <w:pStyle w:val="Listeafsnit"/>
        <w:numPr>
          <w:ilvl w:val="0"/>
          <w:numId w:val="16"/>
        </w:numPr>
        <w:spacing w:after="0" w:line="240" w:lineRule="auto"/>
        <w:jc w:val="both"/>
        <w:rPr>
          <w:rFonts w:ascii="Times New Roman" w:eastAsia="Times New Roman" w:hAnsi="Times New Roman" w:cs="Times New Roman"/>
          <w:b/>
          <w:color w:val="000000"/>
          <w:lang w:eastAsia="da-DK"/>
        </w:rPr>
      </w:pPr>
      <w:r w:rsidRPr="00BE0A80">
        <w:rPr>
          <w:rFonts w:ascii="Times New Roman" w:eastAsia="Times New Roman" w:hAnsi="Times New Roman" w:cs="Times New Roman"/>
          <w:b/>
          <w:color w:val="000000"/>
          <w:lang w:eastAsia="da-DK"/>
        </w:rPr>
        <w:t>Enhver anden virksomhed, der er nævnt i litra a.</w:t>
      </w:r>
    </w:p>
    <w:p w:rsidR="001E3F5C" w:rsidRPr="00BE0A80" w:rsidRDefault="001E3F5C" w:rsidP="001E3F5C">
      <w:pPr>
        <w:pStyle w:val="Listeafsnit"/>
        <w:spacing w:after="0" w:line="240" w:lineRule="auto"/>
        <w:ind w:left="1080"/>
        <w:jc w:val="both"/>
        <w:rPr>
          <w:rFonts w:ascii="Times New Roman" w:eastAsia="Times New Roman" w:hAnsi="Times New Roman" w:cs="Times New Roman"/>
          <w:color w:val="000000"/>
          <w:lang w:eastAsia="da-DK"/>
        </w:rPr>
      </w:pPr>
      <w:r w:rsidRPr="00BE0A80">
        <w:rPr>
          <w:rFonts w:ascii="Times New Roman" w:eastAsia="Times New Roman" w:hAnsi="Times New Roman" w:cs="Times New Roman"/>
          <w:color w:val="000000"/>
          <w:lang w:eastAsia="da-DK"/>
        </w:rPr>
        <w:fldChar w:fldCharType="begin">
          <w:ffData>
            <w:name w:val="Tekst14"/>
            <w:enabled/>
            <w:calcOnExit w:val="0"/>
            <w:textInput/>
          </w:ffData>
        </w:fldChar>
      </w:r>
      <w:bookmarkStart w:id="13" w:name="Tekst14"/>
      <w:r w:rsidRPr="00BE0A80">
        <w:rPr>
          <w:rFonts w:ascii="Times New Roman" w:eastAsia="Times New Roman" w:hAnsi="Times New Roman" w:cs="Times New Roman"/>
          <w:color w:val="000000"/>
          <w:lang w:eastAsia="da-DK"/>
        </w:rPr>
        <w:instrText xml:space="preserve"> FORMTEXT </w:instrText>
      </w:r>
      <w:r w:rsidRPr="00BE0A80">
        <w:rPr>
          <w:rFonts w:ascii="Times New Roman" w:eastAsia="Times New Roman" w:hAnsi="Times New Roman" w:cs="Times New Roman"/>
          <w:color w:val="000000"/>
          <w:lang w:eastAsia="da-DK"/>
        </w:rPr>
      </w:r>
      <w:r w:rsidRPr="00BE0A80">
        <w:rPr>
          <w:rFonts w:ascii="Times New Roman" w:eastAsia="Times New Roman" w:hAnsi="Times New Roman" w:cs="Times New Roman"/>
          <w:color w:val="000000"/>
          <w:lang w:eastAsia="da-DK"/>
        </w:rPr>
        <w:fldChar w:fldCharType="separate"/>
      </w:r>
      <w:r w:rsidRPr="00BE0A80">
        <w:rPr>
          <w:rFonts w:ascii="Times New Roman" w:hAnsi="Times New Roman" w:cs="Times New Roman"/>
          <w:lang w:eastAsia="da-DK"/>
        </w:rPr>
        <w:t> </w:t>
      </w:r>
      <w:r w:rsidRPr="00BE0A80">
        <w:rPr>
          <w:rFonts w:ascii="Times New Roman" w:hAnsi="Times New Roman" w:cs="Times New Roman"/>
          <w:lang w:eastAsia="da-DK"/>
        </w:rPr>
        <w:t> </w:t>
      </w:r>
      <w:r w:rsidRPr="00BE0A80">
        <w:rPr>
          <w:rFonts w:ascii="Times New Roman" w:hAnsi="Times New Roman" w:cs="Times New Roman"/>
          <w:lang w:eastAsia="da-DK"/>
        </w:rPr>
        <w:t> </w:t>
      </w:r>
      <w:r w:rsidRPr="00BE0A80">
        <w:rPr>
          <w:rFonts w:ascii="Times New Roman" w:hAnsi="Times New Roman" w:cs="Times New Roman"/>
          <w:lang w:eastAsia="da-DK"/>
        </w:rPr>
        <w:t> </w:t>
      </w:r>
      <w:r w:rsidRPr="00BE0A80">
        <w:rPr>
          <w:rFonts w:ascii="Times New Roman" w:hAnsi="Times New Roman" w:cs="Times New Roman"/>
          <w:lang w:eastAsia="da-DK"/>
        </w:rPr>
        <w:t> </w:t>
      </w:r>
      <w:r w:rsidRPr="00BE0A80">
        <w:rPr>
          <w:rFonts w:ascii="Times New Roman" w:eastAsia="Times New Roman" w:hAnsi="Times New Roman" w:cs="Times New Roman"/>
          <w:color w:val="000000"/>
          <w:lang w:eastAsia="da-DK"/>
        </w:rPr>
        <w:fldChar w:fldCharType="end"/>
      </w:r>
      <w:bookmarkEnd w:id="13"/>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For hver af de virksomheder, der er angivet ovenfor, specificeres, hvilken form for kontrol, der er tale om.</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6.2.</w:t>
      </w:r>
      <w:r w:rsidRPr="00DC13EC">
        <w:rPr>
          <w:rFonts w:ascii="Times New Roman" w:eastAsia="Times New Roman" w:hAnsi="Times New Roman" w:cs="Times New Roman"/>
          <w:b/>
          <w:color w:val="000000"/>
          <w:lang w:eastAsia="da-DK"/>
        </w:rPr>
        <w:t xml:space="preserve"> For fusionsparterne og hver af de i punkt 6.1 a og b anførte virksomheder eller personer angives:</w:t>
      </w:r>
    </w:p>
    <w:p w:rsidR="001E3F5C" w:rsidRPr="00DC13EC" w:rsidRDefault="001E3F5C" w:rsidP="001E3F5C">
      <w:pPr>
        <w:pStyle w:val="Listeafsnit"/>
        <w:numPr>
          <w:ilvl w:val="0"/>
          <w:numId w:val="7"/>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En liste over alle andre virksomheder, der er aktive på et eller flere af de markeder, der er oplyst i punkt 7.1 og 7.2 nedenfor, og hvori virksomheder eller personer i koncernen, alene eller i fællesskab, besidder mindst 10 pct. af stemmerettighederne, den tegnede aktiekapital eller andre værdipapirer.</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7"/>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En liste for de enkelte virksomheder over medlemmerne af deres direktion eller bestyrelse, som også beklæder en direktions- eller bestyrelsespost i en anden virksomhed, der er aktiv på et eller flere af de markeder, der er oplyst i punkt 7.1 og 7.2 nedenfor. I hvert enkelt tilfælde oplyses navnet på den anden virksomhed, og hvilken post der beklædes samt navn og titel på den person, der beklæder posten.</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7"/>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Nærmere oplysninger om, hvorvidt ovennævnte koncerner (punkt 6.1) i de sidste tre år har overtaget virksomheder, der er aktive på et eller flere af de markeder, der er oplyst i punkt 7.1 og 7.2.</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7.</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Markeder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Det er det/de relevante produktmarked(er) og det/de relevante geografiske marked(er), der danner grundlag for vurderingen af den nye virksomheds markedsstyrke efter fusionen.</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Afgrænsningen af det relevante marked fremgår af konkurrencelovens § 5 a. Oplysning om de relevante markeder gives af anmelder på baggrund af følgende definitioner: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i/>
          <w:iCs/>
          <w:color w:val="000000"/>
          <w:lang w:eastAsia="da-DK"/>
        </w:rPr>
        <w:t>Relevante produktmarkeder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 xml:space="preserve">Ved et relevant produktmarked forstås markedet for alle de varer og/eller tjenesteydelser, som forbrugeren betragter som indbyrdes substituerbare på grund af deres egenskaber, pris og anvendelsesformål. Et relevant produktmarked kan i visse tilfælde bestå af flere varer og/eller </w:t>
      </w:r>
      <w:r w:rsidRPr="00DC13EC">
        <w:rPr>
          <w:rFonts w:ascii="Times New Roman" w:eastAsia="Times New Roman" w:hAnsi="Times New Roman" w:cs="Times New Roman"/>
          <w:b/>
          <w:color w:val="000000"/>
          <w:lang w:eastAsia="da-DK"/>
        </w:rPr>
        <w:lastRenderedPageBreak/>
        <w:t>tjenesteydelser, som i vid udstrækning frembyder identiske fysiske eller tekniske egenskaber, og som er indbyrdes substituerbare.</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Blandt de faktorer, der er af betydning for vurderingen af det relevante produktmarked, indgår en analyse af, hvorfor de pågældende varer og tjenesteydelser henføres til dette marked, og hvorfor andre ikke henføres dertil, under hensyn til f.eks. substituerbarhed, konkurrencevilkår, priser, krydspriselasticitet på</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efterspørgselssiden eller andre faktorer af relevans for afgrænsningen af produktmarkederne (f.eks. udbudssubstitution).</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i/>
          <w:iCs/>
          <w:color w:val="000000"/>
          <w:lang w:eastAsia="da-DK"/>
        </w:rPr>
        <w:t>Relevante geografiske markeder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Ved det relevante geografiske marked forstås det område, hvor de deltagende virksomheder udbyder og efterspørger de pågældende varer og tjenesteydelser, hvor konkurrencevilkårene er tilstrækkeligt homogene, og som kan adskilles fra tilgrænsende geografiske områder på grund af især væsentlige forskelle i konkurrencevilkårene.</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Blandt de faktorer, der er af betydning for vurderingen af det relevante marked, indgår de pågældende varers eller tjenesteydelsers art og egenskaber, adgangsbarrierer, forbrugerpræferencer, betydelige forskelle i virksomhedernes markedsandele i dette og tilgrænsende geografiske områder eller væsentlige prisforskelle.</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i/>
          <w:iCs/>
          <w:color w:val="000000"/>
          <w:lang w:eastAsia="da-DK"/>
        </w:rPr>
        <w:t>Berørte markeder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De relevante produktmarkeder inden for det relevante geografiske marked betragtes som berørte markeder, når</w:t>
      </w:r>
    </w:p>
    <w:p w:rsidR="001E3F5C" w:rsidRPr="00DC13EC" w:rsidRDefault="001E3F5C" w:rsidP="001E3F5C">
      <w:pPr>
        <w:spacing w:after="0" w:line="240" w:lineRule="auto"/>
        <w:ind w:left="280"/>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a) to eller flere af fusionsparterne er aktive på det samme relevante produktmarked, og fusionen vil medføre, at de tilsammen får en markedsandel på mindst 15 pct. (horisontale forbindelser), og/eller</w:t>
      </w:r>
    </w:p>
    <w:p w:rsidR="001E3F5C" w:rsidRPr="00DC13EC" w:rsidRDefault="001E3F5C" w:rsidP="001E3F5C">
      <w:pPr>
        <w:spacing w:after="0" w:line="240" w:lineRule="auto"/>
        <w:ind w:left="280"/>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b) en eller flere af fusionsparterne er aktive på et produktmarked i tidligere eller senere omsætningsled i forhold til det produktmarked, som en eller flere andre af fusionsparterne er aktive på, og her hver især eller tilsammen har en markedsandel på mindst 25 pct., uanset om der består et leverandør-/kundeforhold mellem dem eller ej (vertikale forbindelser).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i/>
          <w:iCs/>
          <w:color w:val="000000"/>
          <w:lang w:eastAsia="da-DK"/>
        </w:rPr>
        <w:t>Andre markeder, hvor fusionen kan få mærkbar indvirkning</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Fusionen kan også få mærkbar indvirkning på andre produktmarkeder og geografiske markeder end de berørte markeder. Dette kan f.eks. ske ved,</w:t>
      </w:r>
    </w:p>
    <w:p w:rsidR="001E3F5C" w:rsidRPr="00DC13EC" w:rsidRDefault="001E3F5C" w:rsidP="001E3F5C">
      <w:pPr>
        <w:spacing w:after="0" w:line="240" w:lineRule="auto"/>
        <w:ind w:left="280"/>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a) at en af fusionsparterne har en markedsandel på over 25 pct., og en anden af fusionsparterne er en potentiel konkurrent på det pågældende marked</w:t>
      </w:r>
      <w:bookmarkStart w:id="14" w:name="Henvisning_Not1"/>
      <w:r w:rsidRPr="00DC13EC">
        <w:rPr>
          <w:rStyle w:val="Fodnotehenvisning"/>
          <w:rFonts w:ascii="Times New Roman" w:eastAsia="Times New Roman" w:hAnsi="Times New Roman" w:cs="Times New Roman"/>
          <w:b/>
          <w:color w:val="000000"/>
          <w:lang w:eastAsia="da-DK"/>
        </w:rPr>
        <w:footnoteReference w:id="1"/>
      </w:r>
      <w:bookmarkEnd w:id="14"/>
      <w:r w:rsidRPr="00DC13EC">
        <w:rPr>
          <w:rFonts w:ascii="Times New Roman" w:eastAsia="Times New Roman" w:hAnsi="Times New Roman" w:cs="Times New Roman"/>
          <w:b/>
          <w:color w:val="000000"/>
          <w:lang w:eastAsia="da-DK"/>
        </w:rPr>
        <w:t xml:space="preserve"> og/eller,</w:t>
      </w:r>
    </w:p>
    <w:p w:rsidR="001E3F5C" w:rsidRPr="00DC13EC" w:rsidRDefault="001E3F5C" w:rsidP="001E3F5C">
      <w:pPr>
        <w:spacing w:after="0" w:line="240" w:lineRule="auto"/>
        <w:ind w:left="280"/>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b) at en af fusionsparterne har en markedsandel på over 25 pct., og en fusionspart har betydelige intellektuelle ejendomsrettigheder på det pågældende marked og/eller,</w:t>
      </w:r>
    </w:p>
    <w:p w:rsidR="001E3F5C" w:rsidRPr="00DC13EC" w:rsidRDefault="001E3F5C" w:rsidP="001E3F5C">
      <w:pPr>
        <w:spacing w:after="0" w:line="240" w:lineRule="auto"/>
        <w:ind w:left="280"/>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c) at en af fusionsparterne for øjeblikket er til stede på et produktmarked, der er nært beslægtet</w:t>
      </w:r>
      <w:bookmarkStart w:id="15" w:name="Henvisning_Not2"/>
      <w:r w:rsidRPr="00DC13EC">
        <w:rPr>
          <w:rStyle w:val="Fodnotehenvisning"/>
          <w:rFonts w:ascii="Times New Roman" w:eastAsia="Times New Roman" w:hAnsi="Times New Roman" w:cs="Times New Roman"/>
          <w:b/>
          <w:color w:val="000000"/>
          <w:lang w:eastAsia="da-DK"/>
        </w:rPr>
        <w:footnoteReference w:id="2"/>
      </w:r>
      <w:bookmarkEnd w:id="15"/>
      <w:r w:rsidRPr="00DC13EC">
        <w:rPr>
          <w:rFonts w:ascii="Times New Roman" w:eastAsia="Times New Roman" w:hAnsi="Times New Roman" w:cs="Times New Roman"/>
          <w:b/>
          <w:color w:val="000000"/>
          <w:lang w:eastAsia="da-DK"/>
        </w:rPr>
        <w:t xml:space="preserve"> med et produktmarked, som en af de andre fusionsparter er aktiv på, og de her individuelt eller tilsammen har en markedsandel på mindst 25 pct.</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lastRenderedPageBreak/>
        <w:t>7.1.</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Oplys samtlige berørte markeder</w:t>
      </w:r>
      <w:r w:rsidRPr="00DC13EC">
        <w:rPr>
          <w:rStyle w:val="Fodnotehenvisning"/>
          <w:rFonts w:ascii="Times New Roman" w:eastAsia="Times New Roman" w:hAnsi="Times New Roman" w:cs="Times New Roman"/>
          <w:b/>
          <w:bCs/>
          <w:color w:val="000000"/>
          <w:lang w:eastAsia="da-DK"/>
        </w:rPr>
        <w:footnoteReference w:id="3"/>
      </w:r>
    </w:p>
    <w:p w:rsidR="001E3F5C" w:rsidRPr="00DC13EC" w:rsidRDefault="001E3F5C" w:rsidP="001E3F5C">
      <w:pPr>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7.2.</w:t>
      </w:r>
      <w:r w:rsidRPr="00DC13EC">
        <w:rPr>
          <w:rFonts w:ascii="Times New Roman" w:eastAsia="Times New Roman" w:hAnsi="Times New Roman" w:cs="Times New Roman"/>
          <w:b/>
          <w:color w:val="000000"/>
          <w:lang w:eastAsia="da-DK"/>
        </w:rPr>
        <w:t xml:space="preserve"> Oplys samtlige andre markeder, hvor fusionen kan få mærkbar indvirkning.</w:t>
      </w:r>
    </w:p>
    <w:p w:rsidR="001E3F5C" w:rsidRPr="00DC13EC" w:rsidRDefault="001E3F5C" w:rsidP="001E3F5C">
      <w:pPr>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8.</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Markedsoplysninger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8.1.</w:t>
      </w:r>
      <w:r w:rsidRPr="00DC13EC">
        <w:rPr>
          <w:rFonts w:ascii="Times New Roman" w:eastAsia="Times New Roman" w:hAnsi="Times New Roman" w:cs="Times New Roman"/>
          <w:b/>
          <w:color w:val="000000"/>
          <w:lang w:eastAsia="da-DK"/>
        </w:rPr>
        <w:t xml:space="preserve"> For hvert af de markeder, der er oplyst i punkt 7.1 og 7.2 ovenfor, gives følgende oplysninger for de tre seneste regnskabsår:</w:t>
      </w:r>
    </w:p>
    <w:p w:rsidR="001E3F5C" w:rsidRPr="00DC13EC" w:rsidRDefault="001E3F5C" w:rsidP="001E3F5C">
      <w:pPr>
        <w:pStyle w:val="Listeafsnit"/>
        <w:numPr>
          <w:ilvl w:val="0"/>
          <w:numId w:val="8"/>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Et skøn over den samlede omsætning på markedet målt i værdi og volumen med dokumentation for, hvordan disse skøn er foretaget.</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8"/>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Hver af fusionsparternes omsætning målt i værdi og volumen samt et skøn over deres markedsandele.</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8"/>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Et skøn over markedsandelen i værdi og volumen for alle konkurrenter (også importører) med en markedsandel på mindst 5 pct. på det pågældende geografiske marked, dog mindst fem virksomheder</w:t>
      </w:r>
      <w:r w:rsidRPr="00DC13EC">
        <w:rPr>
          <w:rStyle w:val="Fodnotehenvisning"/>
          <w:rFonts w:ascii="Times New Roman" w:eastAsia="Times New Roman" w:hAnsi="Times New Roman" w:cs="Times New Roman"/>
          <w:b/>
          <w:color w:val="000000"/>
          <w:lang w:eastAsia="da-DK"/>
        </w:rPr>
        <w:footnoteReference w:id="4"/>
      </w:r>
      <w:r w:rsidRPr="00DC13EC">
        <w:rPr>
          <w:rFonts w:ascii="Times New Roman" w:eastAsia="Times New Roman" w:hAnsi="Times New Roman" w:cs="Times New Roman"/>
          <w:b/>
          <w:color w:val="000000"/>
          <w:lang w:eastAsia="da-DK"/>
        </w:rPr>
        <w:t>. På dette grundlag oplyses et skøn over HHI-indekset</w:t>
      </w:r>
      <w:r w:rsidRPr="00DC13EC">
        <w:rPr>
          <w:rStyle w:val="Fodnotehenvisning"/>
          <w:rFonts w:ascii="Times New Roman" w:eastAsia="Times New Roman" w:hAnsi="Times New Roman" w:cs="Times New Roman"/>
          <w:b/>
          <w:color w:val="000000"/>
          <w:lang w:eastAsia="da-DK"/>
        </w:rPr>
        <w:footnoteReference w:id="5"/>
      </w:r>
      <w:r w:rsidRPr="00DC13EC">
        <w:rPr>
          <w:rFonts w:ascii="Times New Roman" w:eastAsia="Times New Roman" w:hAnsi="Times New Roman" w:cs="Times New Roman"/>
          <w:b/>
          <w:color w:val="000000"/>
          <w:lang w:eastAsia="da-DK"/>
        </w:rPr>
        <w:t xml:space="preserve"> før og efter fusionen samt forskellen mellem de to værdier (delta)</w:t>
      </w:r>
      <w:r w:rsidRPr="00DC13EC">
        <w:rPr>
          <w:rStyle w:val="Fodnotehenvisning"/>
          <w:rFonts w:ascii="Times New Roman" w:eastAsia="Times New Roman" w:hAnsi="Times New Roman" w:cs="Times New Roman"/>
          <w:b/>
          <w:color w:val="000000"/>
          <w:lang w:eastAsia="da-DK"/>
        </w:rPr>
        <w:footnoteReference w:id="6"/>
      </w:r>
      <w:r w:rsidRPr="00DC13EC">
        <w:rPr>
          <w:rFonts w:ascii="Times New Roman" w:eastAsia="Times New Roman" w:hAnsi="Times New Roman" w:cs="Times New Roman"/>
          <w:b/>
          <w:color w:val="000000"/>
          <w:lang w:eastAsia="da-DK"/>
        </w:rPr>
        <w:t xml:space="preserve"> med angivelse af den del af markedsandelene, der anvendes som grundlag for beregning af HHI. Oplys, hvilke kilder der anvendes til beregning af disse markedsandele, så vidt muligt vedlagt dokumentation. Oplys navn, adresse, e-mail-adresse og telefonnummer samt kontaktperson på disse konkurrenter.</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8"/>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Et skøn målt i salgsværdi og volumen af eventuel import. Oplys:</w:t>
      </w:r>
    </w:p>
    <w:p w:rsidR="001E3F5C" w:rsidRPr="00DC13EC" w:rsidRDefault="001E3F5C" w:rsidP="001E3F5C">
      <w:pPr>
        <w:pStyle w:val="Listeafsnit"/>
        <w:numPr>
          <w:ilvl w:val="0"/>
          <w:numId w:val="9"/>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Den andel af importen, der kan henføres til fusionsparterne.</w:t>
      </w:r>
    </w:p>
    <w:p w:rsidR="001E3F5C" w:rsidRPr="00DC13EC" w:rsidRDefault="001E3F5C" w:rsidP="001E3F5C">
      <w:pPr>
        <w:pStyle w:val="Listeafsnit"/>
        <w:spacing w:after="0" w:line="240" w:lineRule="auto"/>
        <w:ind w:left="1080"/>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9"/>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I hvilket omfang importen er genstand for handelsbarrierer, f.eks. told, kvoter, transportomkostninger eller juridiske barrierer.</w:t>
      </w:r>
    </w:p>
    <w:p w:rsidR="001E3F5C" w:rsidRPr="00DC13EC" w:rsidRDefault="001E3F5C" w:rsidP="001E3F5C">
      <w:pPr>
        <w:pStyle w:val="Listeafsnit"/>
        <w:spacing w:after="0" w:line="240" w:lineRule="auto"/>
        <w:ind w:firstLine="360"/>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8"/>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Oplys, hvordan fusionsparterne producerer, prissætter og sælger deres produkter og/eller tjenesteydelser.</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8"/>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Oplys i hvilket omfang fusionsparterne udgør vertikalt integrerede virksomheder i forhold til deres største konkurrenter.</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Værdi skal oplyses i danske kroner, og volumen skal oplyses i antal enheder. Et markeds værdi og volumen bør oplyses således, at det afspejler produktionen minus eksport plus import på de pågældende geografiske områder.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9.</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Generelle vilkår på de berørte markeder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lastRenderedPageBreak/>
        <w:t>For hvert af de markeder, der er oplyst i punkt 7.1 og 7.2, oplyses følgende:</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i/>
          <w:iCs/>
          <w:color w:val="000000"/>
          <w:lang w:eastAsia="da-DK"/>
        </w:rPr>
        <w:t>Indkøbsforhold</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9.1.</w:t>
      </w:r>
      <w:r w:rsidRPr="00DC13EC">
        <w:rPr>
          <w:rFonts w:ascii="Times New Roman" w:eastAsia="Times New Roman" w:hAnsi="Times New Roman" w:cs="Times New Roman"/>
          <w:b/>
          <w:color w:val="000000"/>
          <w:lang w:eastAsia="da-DK"/>
        </w:rPr>
        <w:t xml:space="preserve"> Oplys for hvert af de markeder, der er oplyst i punkt 7.1 og 7.2, og for hver af fusionsparterne, de fem største uafhængige leverandører (dvs. virksomheder, der ikke er en del af virksomhedens koncern) samt, hvor stor en andel af deres indkøb disse leverandører tegner sig for. Oplys navn og stilling samt adresse, telefonnummer og e-mail-adresse på de relevante kontaktpersoner hos disse leverandører.</w:t>
      </w:r>
    </w:p>
    <w:p w:rsidR="001E3F5C" w:rsidRPr="00DC13EC" w:rsidRDefault="001E3F5C" w:rsidP="001E3F5C">
      <w:pPr>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i/>
          <w:iCs/>
          <w:color w:val="000000"/>
          <w:lang w:eastAsia="da-DK"/>
        </w:rPr>
        <w:t>Udbudsstruktur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9.2.</w:t>
      </w:r>
      <w:r w:rsidRPr="00DC13EC">
        <w:rPr>
          <w:rFonts w:ascii="Times New Roman" w:eastAsia="Times New Roman" w:hAnsi="Times New Roman" w:cs="Times New Roman"/>
          <w:b/>
          <w:color w:val="000000"/>
          <w:lang w:eastAsia="da-DK"/>
        </w:rPr>
        <w:t xml:space="preserve"> Oplys hvilke distributionskanaler og servicenet, der findes på de markeder, der er oplyst i punkt 7.1 og 7.2. Oplys særskilt:</w:t>
      </w:r>
    </w:p>
    <w:p w:rsidR="001E3F5C" w:rsidRPr="00DC13EC" w:rsidRDefault="001E3F5C" w:rsidP="001E3F5C">
      <w:pPr>
        <w:pStyle w:val="Listeafsnit"/>
        <w:numPr>
          <w:ilvl w:val="0"/>
          <w:numId w:val="10"/>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De mest udbredte distributionssystemer og deres betydning samt i hvilket omfang, distributionen udføres af de deltagende virksomheder eller af tredjemand.</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10"/>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De mest udbredte servicenet (f.eks. reparation og vedligeholdelse) og deres betydning samt i hvilket omfang, disse servicetjenester udføres af fusionsparterne eller af tredjemand.</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9.3.</w:t>
      </w:r>
      <w:r w:rsidRPr="00DC13EC">
        <w:rPr>
          <w:rFonts w:ascii="Times New Roman" w:eastAsia="Times New Roman" w:hAnsi="Times New Roman" w:cs="Times New Roman"/>
          <w:b/>
          <w:color w:val="000000"/>
          <w:lang w:eastAsia="da-DK"/>
        </w:rPr>
        <w:t xml:space="preserve"> Oplys et skøn over den samlede kapacitet på markedet med angivelse af fusionsparternes andel af denne kapacitet, og i hvilken grad fusionsparterne udnytter deres kapacitet.</w:t>
      </w:r>
    </w:p>
    <w:p w:rsidR="001E3F5C" w:rsidRPr="00DC13EC" w:rsidRDefault="001E3F5C" w:rsidP="001E3F5C">
      <w:pPr>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9.4.</w:t>
      </w:r>
      <w:r w:rsidRPr="00DC13EC">
        <w:rPr>
          <w:rFonts w:ascii="Times New Roman" w:eastAsia="Times New Roman" w:hAnsi="Times New Roman" w:cs="Times New Roman"/>
          <w:b/>
          <w:color w:val="000000"/>
          <w:lang w:eastAsia="da-DK"/>
        </w:rPr>
        <w:t xml:space="preserve"> Oplys den geografiske beliggenhed for fusionsparternes produktionsanlæg.</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9.5.</w:t>
      </w:r>
      <w:r w:rsidRPr="00DC13EC">
        <w:rPr>
          <w:rFonts w:ascii="Times New Roman" w:eastAsia="Times New Roman" w:hAnsi="Times New Roman" w:cs="Times New Roman"/>
          <w:b/>
          <w:color w:val="000000"/>
          <w:lang w:eastAsia="da-DK"/>
        </w:rPr>
        <w:t xml:space="preserve"> Oplys om nogen af fusionsparterne inden for de kommende tre år:</w:t>
      </w:r>
    </w:p>
    <w:p w:rsidR="001E3F5C" w:rsidRPr="00DC13EC" w:rsidRDefault="001E3F5C" w:rsidP="001E3F5C">
      <w:pPr>
        <w:pStyle w:val="Listeafsnit"/>
        <w:numPr>
          <w:ilvl w:val="0"/>
          <w:numId w:val="11"/>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Har planer om at lancere nye produkter på et eller flere af de berørte markeder.</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11"/>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Planlægger at udvide eller indskrænke sin produktions- eller salgskapacitet.</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11"/>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Har til hensigt at bruge underleverandører.</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 xml:space="preserve">I bekræftende fald oplyses et skøn over det forventede salg og de anslåede markedsandele for fusionsparterne i løbet af de næste tre år.    </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7"/>
            <w:enabled/>
            <w:calcOnExit w:val="0"/>
            <w:textInput/>
          </w:ffData>
        </w:fldChar>
      </w:r>
      <w:bookmarkStart w:id="16" w:name="Tekst17"/>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bookmarkEnd w:id="16"/>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9.6.</w:t>
      </w:r>
      <w:r w:rsidRPr="00DC13EC">
        <w:rPr>
          <w:rFonts w:ascii="Times New Roman" w:eastAsia="Times New Roman" w:hAnsi="Times New Roman" w:cs="Times New Roman"/>
          <w:b/>
          <w:color w:val="000000"/>
          <w:lang w:eastAsia="da-DK"/>
        </w:rPr>
        <w:t xml:space="preserve"> Oplys andre faktorer af betydning for udbudsstrukturen.</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i/>
          <w:iCs/>
          <w:color w:val="000000"/>
          <w:lang w:eastAsia="da-DK"/>
        </w:rPr>
        <w:lastRenderedPageBreak/>
        <w:t>Efterspørgselsstruktur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9.7.</w:t>
      </w:r>
      <w:r w:rsidRPr="00DC13EC">
        <w:rPr>
          <w:rFonts w:ascii="Times New Roman" w:eastAsia="Times New Roman" w:hAnsi="Times New Roman" w:cs="Times New Roman"/>
          <w:b/>
          <w:color w:val="000000"/>
          <w:lang w:eastAsia="da-DK"/>
        </w:rPr>
        <w:t xml:space="preserve"> Oplys for hvert af de markeder, der er oplyst i punkt 7.1 og 7.2, og for hver af fusionsparterne, de fem største uafhængige kunder (dvs. virksomheder, der ikke er en del af virksomhedens koncern) med angivelse af, hvor stor en andel af den pågældende fusionsparts samlede afsætning af sådanne produkter, disse kunder tegner sig for. Oplys navn og stilling samt adresse, telefonnummer og e-mail-adresse på de relevante kontaktpersoner hos disse kunder.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9.8.</w:t>
      </w:r>
      <w:r w:rsidRPr="00DC13EC">
        <w:rPr>
          <w:rFonts w:ascii="Times New Roman" w:eastAsia="Times New Roman" w:hAnsi="Times New Roman" w:cs="Times New Roman"/>
          <w:b/>
          <w:color w:val="000000"/>
          <w:lang w:eastAsia="da-DK"/>
        </w:rPr>
        <w:t xml:space="preserve"> Redegør for efterspørgselsstrukturen på de markeder, der er oplyst i punkt 7.1 og 7.2. Oplys særskilt:</w:t>
      </w:r>
    </w:p>
    <w:p w:rsidR="001E3F5C" w:rsidRPr="00DC13EC" w:rsidRDefault="001E3F5C" w:rsidP="001E3F5C">
      <w:pPr>
        <w:pStyle w:val="Listeafsnit"/>
        <w:numPr>
          <w:ilvl w:val="0"/>
          <w:numId w:val="12"/>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I hvilken udviklingsfase markedet befinder sig i, dvs. om markedet f.eks. er under opstart eller i ekspansion, er et fuldt udviklet marked, eller er et marked i tilbagegang samt en prognose over den forventede udvikling i efterspørgslen.</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12"/>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Betydning af kundepræferencer med hensyn til f.eks. mærkeloyalitet, før- og eftersalgsservice eller levering af et komplet produktsortiment.</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12"/>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Betydningen af produktdifferentiering for så vidt angår kvalitet og andre egenskaber samt i hvilken udstrækning, fusionsparternes produkter kan substitueres.</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12"/>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Betydningen af tid og omkostninger for kunderne ved at skifte leverandør.</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12"/>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Graden af koncentration blandt kunderne, dvs. i hvilket omfang kunderne består i få store eller mange små virksomheder eller evt. en blanding heraf.</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12"/>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Om kunderne kan opdeles i forskellige kategorier, herunder en beskrivelse af »den typiske kunde« i hver kategori.</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12"/>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Betydningen af eksklusive distributionsaftaler og andre typer kontrakter med lang bindingsperiode.</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i/>
          <w:iCs/>
          <w:color w:val="000000"/>
          <w:lang w:eastAsia="da-DK"/>
        </w:rPr>
        <w:t>Adgangen til markedet</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Oplysninger om adgang til markedet skal gives for hvert enkelt af de markeder, der er oplyst i punkt 7.1 og 7.2.</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9.9.</w:t>
      </w:r>
      <w:r w:rsidRPr="00DC13EC">
        <w:rPr>
          <w:rFonts w:ascii="Times New Roman" w:eastAsia="Times New Roman" w:hAnsi="Times New Roman" w:cs="Times New Roman"/>
          <w:b/>
          <w:color w:val="000000"/>
          <w:lang w:eastAsia="da-DK"/>
        </w:rPr>
        <w:t xml:space="preserve"> Oplys om andre virksomheder inden for de seneste fem år har vundet indpas på markedet. I bekræftende fald angives om muligt et skøn over deres markedsandel samt udviklingen heri i den tid, virksomhederne har været på markedet. Oplys også virksomhedernes navn, adresse, e-mail-adresse, telefonnummer samt relevante kontaktpersoner.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9.10.</w:t>
      </w:r>
      <w:r w:rsidRPr="00DC13EC">
        <w:rPr>
          <w:rFonts w:ascii="Times New Roman" w:eastAsia="Times New Roman" w:hAnsi="Times New Roman" w:cs="Times New Roman"/>
          <w:b/>
          <w:color w:val="000000"/>
          <w:lang w:eastAsia="da-DK"/>
        </w:rPr>
        <w:t xml:space="preserve"> Oplys om der er nogen virksomheder, der inden for de seneste fem år er udtrådt af markedet. I bekræftende fald oplyses virksomhedernes navn, adresse, e-mail-adresse, telefonnummer samt relevante kontaktpersoner.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lastRenderedPageBreak/>
        <w:t>9.11.</w:t>
      </w:r>
      <w:r w:rsidRPr="00DC13EC">
        <w:rPr>
          <w:rFonts w:ascii="Times New Roman" w:eastAsia="Times New Roman" w:hAnsi="Times New Roman" w:cs="Times New Roman"/>
          <w:b/>
          <w:color w:val="000000"/>
          <w:lang w:eastAsia="da-DK"/>
        </w:rPr>
        <w:t xml:space="preserve"> Oplys om nogen af fusionsparterne selv er indtrådt på markedet inden for de seneste fem år. I så fald beskrives de adgangsbarrierer, der var på markedet ved indtræden.</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9.12.</w:t>
      </w:r>
      <w:r w:rsidRPr="00DC13EC">
        <w:rPr>
          <w:rFonts w:ascii="Times New Roman" w:eastAsia="Times New Roman" w:hAnsi="Times New Roman" w:cs="Times New Roman"/>
          <w:b/>
          <w:color w:val="000000"/>
          <w:lang w:eastAsia="da-DK"/>
        </w:rPr>
        <w:t xml:space="preserve"> Oplys, hvilke andre virksomheder, der efter anmelders opfattelse vil kunne komme ind på markedet (herunder virksomheder, der kun opererer på markeder uden for Danmark). Forklar, hvorfor en sådan adgang er mulig og giv et skøn over, hvornår dette vil kunne ske. Oplys navn, adresse, e-mail-adresse, telefonnummer samt relevante kontaktpersoner hos disse virksomheder.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9.13.</w:t>
      </w:r>
      <w:r w:rsidRPr="00DC13EC">
        <w:rPr>
          <w:rFonts w:ascii="Times New Roman" w:eastAsia="Times New Roman" w:hAnsi="Times New Roman" w:cs="Times New Roman"/>
          <w:b/>
          <w:color w:val="000000"/>
          <w:lang w:eastAsia="da-DK"/>
        </w:rPr>
        <w:t xml:space="preserve"> Oplys de forskellige faktorer, der har betydning for adgangen til markederne ud fra både et geografisk og et produktmæssigt synspunkt. Oplys særskilt:</w:t>
      </w:r>
    </w:p>
    <w:p w:rsidR="001E3F5C" w:rsidRPr="00DC13EC" w:rsidRDefault="001E3F5C" w:rsidP="001E3F5C">
      <w:pPr>
        <w:pStyle w:val="Listeafsnit"/>
        <w:numPr>
          <w:ilvl w:val="0"/>
          <w:numId w:val="13"/>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De anslåede omkostninger (forskning, produktion, opbygning af distributionssystemer, markedsføring, reklame, service, etc.) ved at gennemføre en konkurrencedygtig og bæredygtig etablering med angivelse af et skøn over den forventede markedsandel for en sådan konkurrent samt af den estimerede tidshorisont herfor.</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13"/>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Eventuelle lovbestemte eller regulerede adgangsbarrierer, såsom krav om offentlig godkendelse eller standarder.</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13"/>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Begrænsninger som følge af knowhow, patenter og andre immaterielle rettigheder.</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13"/>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I hvilket omfang en eller flere af fusionsparterne har meddelt eller fået meddelt licenser på patenter, knowhow og andre rettigheder.</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13"/>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Betydningen af stordriftsfordele i produktionen og distributionen af produkterne på de berørte markeder.</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13"/>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Betydningen af adgang til råmaterialer, nødvendig infrastruktur el. lign.</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i/>
          <w:iCs/>
          <w:color w:val="000000"/>
          <w:lang w:eastAsia="da-DK"/>
        </w:rPr>
        <w:t>Forskning og udvikling</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9.14.</w:t>
      </w:r>
      <w:r w:rsidRPr="00DC13EC">
        <w:rPr>
          <w:rFonts w:ascii="Times New Roman" w:eastAsia="Times New Roman" w:hAnsi="Times New Roman" w:cs="Times New Roman"/>
          <w:b/>
          <w:color w:val="000000"/>
          <w:lang w:eastAsia="da-DK"/>
        </w:rPr>
        <w:t xml:space="preserve"> Beskriv hvilken betydning forskning og udvikling har for konkurrenceevnen på lang sigt for en virksomhed, der opererer på det/de berørte marked(er). Beskriv tillige hvilken forskning og udvikling, fusionsparterne gennemfører på det/de berørte marked(er). Oplys herunder: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8"/>
            <w:enabled/>
            <w:calcOnExit w:val="0"/>
            <w:textInput/>
          </w:ffData>
        </w:fldChar>
      </w:r>
      <w:bookmarkStart w:id="17" w:name="Tekst18"/>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bookmarkEnd w:id="17"/>
    </w:p>
    <w:p w:rsidR="001E3F5C" w:rsidRPr="00DC13EC" w:rsidRDefault="001E3F5C" w:rsidP="001E3F5C">
      <w:pPr>
        <w:pStyle w:val="Listeafsnit"/>
        <w:numPr>
          <w:ilvl w:val="0"/>
          <w:numId w:val="14"/>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Forsknings- og udviklingsintensiteten (dvs. forsknings- og udviklingsudgifter i forhold til omsætningen) på de berørte markeder og for hver af fusionsparterne.</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14"/>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Den teknologiske udvikling, der har fundet sted på disse markeder (inden for produktionsmetoder, distributionssystemer osv.).</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14"/>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De største innovationer, der er skabt på disse markeder, med angivelse af navnene på de virksomheder, der har skabt dem.</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14"/>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lastRenderedPageBreak/>
        <w:t>Innovationscyklussen på disse markeder samt, hvor i denne cyklus fusionsparternes produkter befinder sig.</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i/>
          <w:iCs/>
          <w:color w:val="000000"/>
          <w:lang w:eastAsia="da-DK"/>
        </w:rPr>
        <w:t>Samarbejdsaftaler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9.15.</w:t>
      </w:r>
      <w:r w:rsidRPr="00DC13EC">
        <w:rPr>
          <w:rFonts w:ascii="Times New Roman" w:eastAsia="Times New Roman" w:hAnsi="Times New Roman" w:cs="Times New Roman"/>
          <w:b/>
          <w:color w:val="000000"/>
          <w:lang w:eastAsia="da-DK"/>
        </w:rPr>
        <w:t xml:space="preserve"> Oplys i hvilket omfang der er horisontale og vertikale samarbejdsaftaler på de berørte markeder.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9.16.</w:t>
      </w:r>
      <w:r w:rsidRPr="00DC13EC">
        <w:rPr>
          <w:rFonts w:ascii="Times New Roman" w:eastAsia="Times New Roman" w:hAnsi="Times New Roman" w:cs="Times New Roman"/>
          <w:b/>
          <w:color w:val="000000"/>
          <w:lang w:eastAsia="da-DK"/>
        </w:rPr>
        <w:t xml:space="preserve"> Beskriv de vigtigste samarbejdsaftaler, som fusionsparterne har indgået på de berørte markeder, f.eks. aftaler om fælles produktion, licensaftaler, specialisering, distribution, leveringsaftaler med lang løbetid, informationsudveksling og forskning og udvikling.</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i/>
          <w:iCs/>
          <w:color w:val="000000"/>
          <w:lang w:eastAsia="da-DK"/>
        </w:rPr>
        <w:t>Erhvervs- og brancheorganisationer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9.17.</w:t>
      </w:r>
      <w:r w:rsidRPr="00DC13EC">
        <w:rPr>
          <w:rFonts w:ascii="Times New Roman" w:eastAsia="Times New Roman" w:hAnsi="Times New Roman" w:cs="Times New Roman"/>
          <w:b/>
          <w:color w:val="000000"/>
          <w:lang w:eastAsia="da-DK"/>
        </w:rPr>
        <w:t xml:space="preserve"> Oplys med angivelse af relevant kontaktperson hvilke organisationer o. lign som fusionsparterne og evt. deres konkurrenter er medlem af.</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9.18.</w:t>
      </w:r>
      <w:r w:rsidRPr="00DC13EC">
        <w:rPr>
          <w:rFonts w:ascii="Times New Roman" w:eastAsia="Times New Roman" w:hAnsi="Times New Roman" w:cs="Times New Roman"/>
          <w:b/>
          <w:color w:val="000000"/>
          <w:lang w:eastAsia="da-DK"/>
        </w:rPr>
        <w:t xml:space="preserve"> Oplys hvilke organisationer o. lign som fusionsparternes kunder og leverandører er medlemmer af.</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10.</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Effektivitetsgevinster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Hvis anmelder ønsker, at Konkurrencerådet som led i vurderingen af fusionen skal overveje effektivitetsgevinster, som fusionen forventes at skabe, gives følgende oplysninger:</w:t>
      </w:r>
    </w:p>
    <w:p w:rsidR="001E3F5C" w:rsidRPr="00DC13EC" w:rsidRDefault="001E3F5C" w:rsidP="001E3F5C">
      <w:pPr>
        <w:pStyle w:val="Listeafsnit"/>
        <w:numPr>
          <w:ilvl w:val="0"/>
          <w:numId w:val="15"/>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En detaljeret beskrivelse af, hvordan den planlagte fusion vil gøre det muligt for den fusionerede enhed at opnå effektivitetsgevinster.</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15"/>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I muligt omfang en kvantificering af effektivitetsgevinsterne med forklaring af, hvordan de er beregnet.</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15"/>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Hvordan og hvor sandsynligt det er, at forbrugerne kan drage fordel af disse gevinster.</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15"/>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Hvorfor parterne ikke vil kunne opnå samme effektivitet på anden måde end ved den planlagte fusion.</w:t>
      </w:r>
    </w:p>
    <w:p w:rsidR="001E3F5C" w:rsidRPr="00DC13EC" w:rsidRDefault="001E3F5C" w:rsidP="001E3F5C">
      <w:pPr>
        <w:pStyle w:val="Listeafsnit"/>
        <w:spacing w:after="0" w:line="240" w:lineRule="auto"/>
        <w:jc w:val="both"/>
        <w:rPr>
          <w:rFonts w:ascii="Times New Roman" w:eastAsia="Times New Roman" w:hAnsi="Times New Roman" w:cs="Times New Roman"/>
          <w:color w:val="000000"/>
          <w:lang w:eastAsia="da-DK"/>
        </w:rPr>
      </w:pPr>
      <w:r w:rsidRPr="00DC13EC">
        <w:rPr>
          <w:rFonts w:ascii="Times New Roman" w:eastAsia="Times New Roman" w:hAnsi="Times New Roman" w:cs="Times New Roman"/>
          <w:color w:val="000000"/>
          <w:lang w:eastAsia="da-DK"/>
        </w:rPr>
        <w:fldChar w:fldCharType="begin">
          <w:ffData>
            <w:name w:val="Tekst14"/>
            <w:enabled/>
            <w:calcOnExit w:val="0"/>
            <w:textInput/>
          </w:ffData>
        </w:fldChar>
      </w:r>
      <w:r w:rsidRPr="00DC13EC">
        <w:rPr>
          <w:rFonts w:ascii="Times New Roman" w:eastAsia="Times New Roman" w:hAnsi="Times New Roman" w:cs="Times New Roman"/>
          <w:color w:val="000000"/>
          <w:lang w:eastAsia="da-DK"/>
        </w:rPr>
        <w:instrText xml:space="preserve"> FORMTEXT </w:instrText>
      </w:r>
      <w:r w:rsidRPr="00DC13EC">
        <w:rPr>
          <w:rFonts w:ascii="Times New Roman" w:eastAsia="Times New Roman" w:hAnsi="Times New Roman" w:cs="Times New Roman"/>
          <w:color w:val="000000"/>
          <w:lang w:eastAsia="da-DK"/>
        </w:rPr>
      </w:r>
      <w:r w:rsidRPr="00DC13EC">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DC13EC">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11.</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Samordningsaspekter for så vidt angår joint ventures</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Det fremgår af konkurrencelovens § 12 c, stk. 3, at i det omfang oprettelsen af et joint venture, som udgør en fusion efter § 12 a, stk. 2, tillige har til formål eller til følge at samordne fortsat uafhængige virksomheders konkurrenceadfærd, vurderes denne samordning efter kriterierne i § 6, stk. 1, og § 8, stk. 1, eller EUF-Traktatens artikel 101, stk. 1 og 3, for at fastslå, om transaktionen kan godkendes.</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lastRenderedPageBreak/>
        <w:t>Hvis fusionen udgør et joint venture, jf. konkurrencelovens § 12 a, stk. 2, skal oplyses:</w:t>
      </w:r>
    </w:p>
    <w:p w:rsidR="001E3F5C" w:rsidRPr="00DC13EC" w:rsidRDefault="001E3F5C" w:rsidP="001E3F5C">
      <w:pPr>
        <w:spacing w:after="0" w:line="240" w:lineRule="auto"/>
        <w:ind w:left="280"/>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a) Om to eller flere af de stiftende virksomheder i væsentlig grad bibeholder aktiviteter på samme marked som joint venturet eller på et marked i et tidligere eller senere omsætningsled i forhold til dette marked eller på et nært beslægtet tilstødende marked</w:t>
      </w:r>
      <w:r w:rsidRPr="00DC13EC">
        <w:rPr>
          <w:rStyle w:val="Fodnotehenvisning"/>
          <w:rFonts w:ascii="Times New Roman" w:eastAsia="Times New Roman" w:hAnsi="Times New Roman" w:cs="Times New Roman"/>
          <w:b/>
          <w:color w:val="000000"/>
          <w:lang w:eastAsia="da-DK"/>
        </w:rPr>
        <w:footnoteReference w:id="7"/>
      </w:r>
      <w:r w:rsidRPr="00DC13EC">
        <w:rPr>
          <w:rFonts w:ascii="Times New Roman" w:eastAsia="Times New Roman" w:hAnsi="Times New Roman" w:cs="Times New Roman"/>
          <w:b/>
          <w:color w:val="000000"/>
          <w:lang w:eastAsia="da-DK"/>
        </w:rPr>
        <w:t>.</w:t>
      </w:r>
    </w:p>
    <w:p w:rsidR="001E3F5C" w:rsidRPr="00CA4416" w:rsidRDefault="001E3F5C" w:rsidP="001E3F5C">
      <w:pPr>
        <w:spacing w:after="0" w:line="240" w:lineRule="auto"/>
        <w:ind w:firstLine="280"/>
        <w:jc w:val="both"/>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I bekræftende fald oplyses for hvert af markederne:</w:t>
      </w:r>
    </w:p>
    <w:p w:rsidR="001E3F5C" w:rsidRPr="00DC13EC" w:rsidRDefault="001E3F5C" w:rsidP="001E3F5C">
      <w:pPr>
        <w:pStyle w:val="Listeafsnit"/>
        <w:numPr>
          <w:ilvl w:val="0"/>
          <w:numId w:val="4"/>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Hver stiftende virksomheds omsætning i det foregående regnskabsår.</w:t>
      </w:r>
    </w:p>
    <w:p w:rsidR="001E3F5C" w:rsidRPr="00CA4416" w:rsidRDefault="001E3F5C" w:rsidP="001E3F5C">
      <w:pPr>
        <w:spacing w:after="0" w:line="240" w:lineRule="auto"/>
        <w:ind w:firstLine="720"/>
        <w:jc w:val="both"/>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4"/>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Den økonomiske betydning af joint venturets aktiviteter i relation til denne omsætning.</w:t>
      </w:r>
    </w:p>
    <w:p w:rsidR="001E3F5C" w:rsidRPr="00CA4416" w:rsidRDefault="001E3F5C" w:rsidP="001E3F5C">
      <w:pPr>
        <w:spacing w:after="0" w:line="240" w:lineRule="auto"/>
        <w:ind w:firstLine="720"/>
        <w:jc w:val="both"/>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1E3F5C" w:rsidRPr="00DC13EC" w:rsidRDefault="001E3F5C" w:rsidP="001E3F5C">
      <w:pPr>
        <w:pStyle w:val="Listeafsnit"/>
        <w:numPr>
          <w:ilvl w:val="0"/>
          <w:numId w:val="4"/>
        </w:numPr>
        <w:spacing w:after="0"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Hver af de stiftende virksomheders markedsandel.</w:t>
      </w:r>
    </w:p>
    <w:p w:rsidR="001E3F5C" w:rsidRPr="00CA4416" w:rsidRDefault="001E3F5C" w:rsidP="001E3F5C">
      <w:pPr>
        <w:spacing w:after="0" w:line="240" w:lineRule="auto"/>
        <w:ind w:firstLine="720"/>
        <w:jc w:val="both"/>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I benægtende fald begrundes svaret.</w:t>
      </w:r>
    </w:p>
    <w:p w:rsidR="001E3F5C" w:rsidRPr="00DC13EC" w:rsidRDefault="001E3F5C" w:rsidP="001E3F5C">
      <w:pPr>
        <w:spacing w:after="0" w:line="240" w:lineRule="auto"/>
        <w:ind w:left="280"/>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b) Hvis svaret på litra a er bekræftende, og oprettelsen af joint venturet efter anmelders vurdering ikke resulterer i en samordning mellem uafhængige virksomheder, som begrænser konkurrencen efter konkurrencelovens § 6, stk. 1, og eventuelt tillige EUF-Traktatens art. 101, stk. 1, skal dette begrundes.</w:t>
      </w:r>
    </w:p>
    <w:p w:rsidR="001E3F5C" w:rsidRPr="00DC13EC" w:rsidRDefault="001E3F5C" w:rsidP="001E3F5C">
      <w:pPr>
        <w:spacing w:after="0" w:line="240" w:lineRule="auto"/>
        <w:ind w:left="280"/>
        <w:jc w:val="both"/>
        <w:rPr>
          <w:rFonts w:ascii="Times New Roman" w:eastAsia="Times New Roman" w:hAnsi="Times New Roman" w:cs="Times New Roman"/>
          <w:b/>
          <w:color w:val="000000"/>
          <w:lang w:eastAsia="da-DK"/>
        </w:rPr>
      </w:pPr>
    </w:p>
    <w:p w:rsidR="001E3F5C" w:rsidRPr="00CA4416" w:rsidRDefault="001E3F5C" w:rsidP="001E3F5C">
      <w:pPr>
        <w:spacing w:after="0" w:line="240" w:lineRule="auto"/>
        <w:ind w:firstLine="280"/>
        <w:jc w:val="both"/>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1E3F5C" w:rsidRPr="00DC13EC" w:rsidRDefault="001E3F5C" w:rsidP="001E3F5C">
      <w:pPr>
        <w:spacing w:after="0" w:line="240" w:lineRule="auto"/>
        <w:ind w:firstLine="280"/>
        <w:jc w:val="both"/>
        <w:rPr>
          <w:rFonts w:ascii="Times New Roman" w:eastAsia="Times New Roman" w:hAnsi="Times New Roman" w:cs="Times New Roman"/>
          <w:b/>
          <w:color w:val="000000"/>
          <w:lang w:eastAsia="da-DK"/>
        </w:rPr>
      </w:pPr>
    </w:p>
    <w:p w:rsidR="001E3F5C" w:rsidRPr="00DC13EC" w:rsidRDefault="001E3F5C" w:rsidP="001E3F5C">
      <w:pPr>
        <w:spacing w:after="0" w:line="240" w:lineRule="auto"/>
        <w:ind w:left="280"/>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c) Uanset svarene på litra a og b skal det oplyses, hvordan kriterierne i konkurrencelovens § 8, stk. 1, og eventuelt tillige EUF-Traktatens art. 101, stk. 3, finder anvendelse. Kriterierne herfor er, om transaktionen</w:t>
      </w:r>
    </w:p>
    <w:p w:rsidR="001E3F5C" w:rsidRPr="00DC13EC" w:rsidRDefault="001E3F5C" w:rsidP="001E3F5C">
      <w:pPr>
        <w:spacing w:after="0" w:line="240" w:lineRule="auto"/>
        <w:ind w:left="560"/>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i) bidrager til at styrke effektiviteten i produktionen eller distributionen af varer eller tjenesteydelser eller fremmer den tekniske eller økonomiske udvikling,</w:t>
      </w:r>
    </w:p>
    <w:p w:rsidR="001E3F5C" w:rsidRPr="00CA4416" w:rsidRDefault="001E3F5C" w:rsidP="001E3F5C">
      <w:pPr>
        <w:spacing w:after="0" w:line="240" w:lineRule="auto"/>
        <w:ind w:firstLine="560"/>
        <w:jc w:val="both"/>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1E3F5C" w:rsidRPr="00DC13EC" w:rsidRDefault="001E3F5C" w:rsidP="001E3F5C">
      <w:pPr>
        <w:spacing w:after="0" w:line="240" w:lineRule="auto"/>
        <w:ind w:left="560"/>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ii) sikrer forbrugerne en rimelig andel af fordelene herved,</w:t>
      </w:r>
    </w:p>
    <w:p w:rsidR="001E3F5C" w:rsidRPr="00CA4416" w:rsidRDefault="001E3F5C" w:rsidP="001E3F5C">
      <w:pPr>
        <w:spacing w:after="0" w:line="240" w:lineRule="auto"/>
        <w:ind w:firstLine="560"/>
        <w:jc w:val="both"/>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1E3F5C" w:rsidRPr="00DC13EC" w:rsidRDefault="001E3F5C" w:rsidP="001E3F5C">
      <w:pPr>
        <w:spacing w:after="0" w:line="240" w:lineRule="auto"/>
        <w:ind w:left="560"/>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iii) ikke pålægger virksomhederne begrænsninger, som er unødvendige for at nå disse mål, og</w:t>
      </w:r>
    </w:p>
    <w:p w:rsidR="001E3F5C" w:rsidRPr="00CA4416" w:rsidRDefault="001E3F5C" w:rsidP="001E3F5C">
      <w:pPr>
        <w:spacing w:after="0" w:line="240" w:lineRule="auto"/>
        <w:ind w:firstLine="560"/>
        <w:jc w:val="both"/>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1E3F5C" w:rsidRPr="00DC13EC" w:rsidRDefault="001E3F5C" w:rsidP="001E3F5C">
      <w:pPr>
        <w:spacing w:after="0" w:line="240" w:lineRule="auto"/>
        <w:ind w:left="560"/>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iv) ikke giver virksomhederne mulighed for at udelukke konkurrencen for en væsentlig del af de pågældende varer eller tjenesteydelser.</w:t>
      </w:r>
    </w:p>
    <w:p w:rsidR="001E3F5C" w:rsidRPr="00CA4416" w:rsidRDefault="001E3F5C" w:rsidP="001E3F5C">
      <w:pPr>
        <w:spacing w:after="0" w:line="240" w:lineRule="auto"/>
        <w:ind w:firstLine="560"/>
        <w:jc w:val="both"/>
        <w:rPr>
          <w:rFonts w:ascii="Times New Roman" w:eastAsia="Times New Roman" w:hAnsi="Times New Roman" w:cs="Times New Roman"/>
          <w:color w:val="000000"/>
          <w:lang w:eastAsia="da-DK"/>
        </w:rPr>
      </w:pP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12.</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Gebyr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 xml:space="preserve">Det gebyr, som er udregnet efter pkt. 12.1. – 12.3. nedenfor, skal samtidig med indsendelsen af anmeldelsen overføres til Konkurrence- og Forbrugerstyrelsens konto i Danske Bank, reg.nr. 0216, kontonummer </w:t>
      </w:r>
      <w:proofErr w:type="gramStart"/>
      <w:r w:rsidRPr="00DC13EC">
        <w:rPr>
          <w:rFonts w:ascii="Times New Roman" w:eastAsia="Times New Roman" w:hAnsi="Times New Roman" w:cs="Times New Roman"/>
          <w:b/>
          <w:color w:val="000000"/>
          <w:lang w:eastAsia="da-DK"/>
        </w:rPr>
        <w:t>4069045960</w:t>
      </w:r>
      <w:proofErr w:type="gramEnd"/>
      <w:r w:rsidRPr="00DC13EC">
        <w:rPr>
          <w:rFonts w:ascii="Times New Roman" w:eastAsia="Times New Roman" w:hAnsi="Times New Roman" w:cs="Times New Roman"/>
          <w:b/>
          <w:color w:val="000000"/>
          <w:lang w:eastAsia="da-DK"/>
        </w:rPr>
        <w:t>.</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i/>
          <w:iCs/>
          <w:color w:val="000000"/>
          <w:lang w:eastAsia="da-DK"/>
        </w:rPr>
        <w:t>Almindelig anmeldelse</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lastRenderedPageBreak/>
        <w:t>12.1.</w:t>
      </w:r>
      <w:r w:rsidRPr="00DC13EC">
        <w:rPr>
          <w:rFonts w:ascii="Times New Roman" w:eastAsia="Times New Roman" w:hAnsi="Times New Roman" w:cs="Times New Roman"/>
          <w:b/>
          <w:color w:val="000000"/>
          <w:lang w:eastAsia="da-DK"/>
        </w:rPr>
        <w:t xml:space="preserve"> Gebyret udregnes som 0,015 pct. af de deltagende virksomheders samlede årlige omsætning i Danmark, jf. pkt. 5a ovenfor. Oplys det herefter udregnede gebyr: </w:t>
      </w:r>
      <w:r w:rsidRPr="00CA4416">
        <w:rPr>
          <w:rFonts w:ascii="Times New Roman" w:eastAsia="Times New Roman" w:hAnsi="Times New Roman" w:cs="Times New Roman"/>
          <w:color w:val="000000"/>
          <w:lang w:eastAsia="da-DK"/>
        </w:rPr>
        <w:fldChar w:fldCharType="begin">
          <w:ffData>
            <w:name w:val="Tekst14"/>
            <w:enabled/>
            <w:calcOnExit w:val="0"/>
            <w:textInput/>
          </w:ffData>
        </w:fldChar>
      </w:r>
      <w:r w:rsidRPr="00CA4416">
        <w:rPr>
          <w:rFonts w:ascii="Times New Roman" w:eastAsia="Times New Roman" w:hAnsi="Times New Roman" w:cs="Times New Roman"/>
          <w:color w:val="000000"/>
          <w:lang w:eastAsia="da-DK"/>
        </w:rPr>
        <w:instrText xml:space="preserve"> FORMTEXT </w:instrText>
      </w:r>
      <w:r w:rsidRPr="00CA4416">
        <w:rPr>
          <w:rFonts w:ascii="Times New Roman" w:eastAsia="Times New Roman" w:hAnsi="Times New Roman" w:cs="Times New Roman"/>
          <w:color w:val="000000"/>
          <w:lang w:eastAsia="da-DK"/>
        </w:rPr>
      </w:r>
      <w:r w:rsidRPr="00CA4416">
        <w:rPr>
          <w:rFonts w:ascii="Times New Roman" w:eastAsia="Times New Roman" w:hAnsi="Times New Roman" w:cs="Times New Roman"/>
          <w:color w:val="000000"/>
          <w:lang w:eastAsia="da-DK"/>
        </w:rPr>
        <w:fldChar w:fldCharType="separate"/>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Pr>
          <w:rFonts w:ascii="Times New Roman" w:eastAsia="Times New Roman" w:hAnsi="Times New Roman" w:cs="Times New Roman"/>
          <w:color w:val="000000"/>
          <w:lang w:eastAsia="da-DK"/>
        </w:rPr>
        <w:t> </w:t>
      </w:r>
      <w:r w:rsidRPr="00CA4416">
        <w:rPr>
          <w:rFonts w:ascii="Times New Roman" w:eastAsia="Times New Roman" w:hAnsi="Times New Roman" w:cs="Times New Roman"/>
          <w:color w:val="000000"/>
          <w:lang w:eastAsia="da-DK"/>
        </w:rPr>
        <w:fldChar w:fldCharType="end"/>
      </w:r>
      <w:r w:rsidRPr="00DC13EC">
        <w:rPr>
          <w:rFonts w:ascii="Times New Roman" w:eastAsia="Times New Roman" w:hAnsi="Times New Roman" w:cs="Times New Roman"/>
          <w:b/>
          <w:color w:val="000000"/>
          <w:lang w:eastAsia="da-DK"/>
        </w:rPr>
        <w:t xml:space="preserve"> kr.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12.2.</w:t>
      </w:r>
      <w:r w:rsidRPr="00DC13EC">
        <w:rPr>
          <w:rFonts w:ascii="Times New Roman" w:eastAsia="Times New Roman" w:hAnsi="Times New Roman" w:cs="Times New Roman"/>
          <w:b/>
          <w:color w:val="000000"/>
          <w:lang w:eastAsia="da-DK"/>
        </w:rPr>
        <w:t xml:space="preserve"> Hvis det udregnede beløb i pkt. 12.1. er større end 1,5 mio. kr., skal der kun betales et gebyr på 1,5 mio. kr.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i/>
          <w:iCs/>
          <w:color w:val="000000"/>
          <w:lang w:eastAsia="da-DK"/>
        </w:rPr>
        <w:t>Fra forenklet anmeldelse til almindelig anmeldelse</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12.3.</w:t>
      </w:r>
      <w:r w:rsidRPr="00DC13EC">
        <w:rPr>
          <w:rFonts w:ascii="Times New Roman" w:eastAsia="Times New Roman" w:hAnsi="Times New Roman" w:cs="Times New Roman"/>
          <w:b/>
          <w:color w:val="000000"/>
          <w:lang w:eastAsia="da-DK"/>
        </w:rPr>
        <w:t xml:space="preserve"> Hvis fusionen allerede er blevet anmeldt ved en forenklet anmeldelse og betaling af et gebyr på 50.000 kr., men Konkurrence- og Forbrugerstyrelsen har krævet en almindelig anmeldelse, skal der samtidig med indsendelsen af den almindelige anmeldelse betales et gebyr på 0,015 pct. af de deltagende virksomheders samlede årlige omsætning i Danmark, jf. pkt. 5a ovenfor, med fradrag af 50.000 kr., dog maksimalt 1,5 mio. kr.</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13.</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Bilag</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Ved indgivelse af anmeldelsen skal følgende medsendes:</w:t>
      </w:r>
    </w:p>
    <w:p w:rsidR="001E3F5C" w:rsidRPr="00DC13EC" w:rsidRDefault="001E3F5C" w:rsidP="001E3F5C">
      <w:pPr>
        <w:spacing w:after="0" w:line="240" w:lineRule="auto"/>
        <w:ind w:left="280"/>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a) Seneste reviderede årsregnskab og årsrapport for hver af fusionsparterne. Hvis der siden afslutningen af seneste regnskabsår er sket virksomhedsafhændelser eller -erhvervelser, skal dokumentation herfor vedlægges.</w:t>
      </w:r>
    </w:p>
    <w:p w:rsidR="001E3F5C" w:rsidRPr="00DC13EC" w:rsidRDefault="001E3F5C" w:rsidP="001E3F5C">
      <w:pPr>
        <w:spacing w:after="0" w:line="240" w:lineRule="auto"/>
        <w:ind w:left="280"/>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b) Kopi af de endelige eller seneste udgaver af alle dokumenter vedrørende fusionen, uanset om den finder sted i henhold til aftale mellem fusionsparterne, gennem erhvervelse af kontrollerende interesser eller efter et offentligt overtagelsestilbud.</w:t>
      </w:r>
    </w:p>
    <w:p w:rsidR="001E3F5C" w:rsidRPr="00DC13EC" w:rsidRDefault="001E3F5C" w:rsidP="001E3F5C">
      <w:pPr>
        <w:spacing w:after="0" w:line="240" w:lineRule="auto"/>
        <w:ind w:left="280"/>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c) Analyser, rapporter, bestyrelsesreferater og lignende dokumenter vedrørende fusionen.</w:t>
      </w:r>
    </w:p>
    <w:p w:rsidR="001E3F5C" w:rsidRPr="00DC13EC" w:rsidRDefault="001E3F5C" w:rsidP="001E3F5C">
      <w:pPr>
        <w:spacing w:after="0" w:line="240" w:lineRule="auto"/>
        <w:ind w:left="280"/>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d) Koncernoversigt for hver enkelt af fusionsparterne.</w:t>
      </w:r>
    </w:p>
    <w:p w:rsidR="001E3F5C" w:rsidRPr="00DC13EC" w:rsidRDefault="001E3F5C" w:rsidP="001E3F5C">
      <w:pPr>
        <w:spacing w:after="0" w:line="240" w:lineRule="auto"/>
        <w:ind w:left="280"/>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e) En ikkefortrolig udgave af anmeldelsen.</w:t>
      </w:r>
    </w:p>
    <w:p w:rsidR="001E3F5C" w:rsidRPr="00DC13EC" w:rsidRDefault="001E3F5C" w:rsidP="001E3F5C">
      <w:pPr>
        <w:spacing w:after="0" w:line="240" w:lineRule="auto"/>
        <w:ind w:left="280"/>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f) Dokumentation for, at betalingen af gebyret er sket, jf. pkt. 12 (f.eks. kopi af bankoverførsel til Konkurrence- og Forbrugerstyrelsens konto).</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bCs/>
          <w:color w:val="000000"/>
          <w:lang w:eastAsia="da-DK"/>
        </w:rPr>
        <w:t>14.</w:t>
      </w:r>
      <w:r w:rsidRPr="00DC13EC">
        <w:rPr>
          <w:rFonts w:ascii="Times New Roman" w:eastAsia="Times New Roman" w:hAnsi="Times New Roman" w:cs="Times New Roman"/>
          <w:b/>
          <w:color w:val="000000"/>
          <w:lang w:eastAsia="da-DK"/>
        </w:rPr>
        <w:t xml:space="preserve"> </w:t>
      </w:r>
      <w:r w:rsidRPr="00DC13EC">
        <w:rPr>
          <w:rFonts w:ascii="Times New Roman" w:eastAsia="Times New Roman" w:hAnsi="Times New Roman" w:cs="Times New Roman"/>
          <w:b/>
          <w:bCs/>
          <w:color w:val="000000"/>
          <w:lang w:eastAsia="da-DK"/>
        </w:rPr>
        <w:t>Erklæring</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Sammen med oplysningerne, jf. punkt 1-12, skal der indsendes en underskrevet erklæring, hvorefter anmelder erklærer:</w:t>
      </w:r>
    </w:p>
    <w:p w:rsidR="001E3F5C" w:rsidRPr="00DC13EC" w:rsidRDefault="001E3F5C" w:rsidP="001E3F5C">
      <w:pPr>
        <w:spacing w:after="0" w:line="240" w:lineRule="auto"/>
        <w:ind w:left="280"/>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 at oplysningerne i denne anmeldelse er korrekte,</w:t>
      </w:r>
    </w:p>
    <w:p w:rsidR="001E3F5C" w:rsidRPr="00DC13EC" w:rsidRDefault="001E3F5C" w:rsidP="001E3F5C">
      <w:pPr>
        <w:spacing w:after="0" w:line="240" w:lineRule="auto"/>
        <w:ind w:left="280"/>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 at der er vedlagt fuldstændige kopier af de i bilag 1 krævede dokumenter samt</w:t>
      </w:r>
    </w:p>
    <w:p w:rsidR="001E3F5C" w:rsidRPr="00DC13EC" w:rsidRDefault="001E3F5C" w:rsidP="001E3F5C">
      <w:pPr>
        <w:spacing w:after="0" w:line="240" w:lineRule="auto"/>
        <w:ind w:left="280"/>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 at alle udtalelser er afgivet i god tro.</w:t>
      </w:r>
    </w:p>
    <w:p w:rsidR="001E3F5C" w:rsidRPr="00DC13EC" w:rsidRDefault="001E3F5C" w:rsidP="001E3F5C">
      <w:pPr>
        <w:spacing w:before="100" w:beforeAutospacing="1" w:after="100" w:afterAutospacing="1" w:line="240" w:lineRule="auto"/>
        <w:jc w:val="both"/>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Hvis erklæringen afgives af en anden end de deltagende virksomheder, indestår undertegnede for, at oplysningerne m.v. er afgivet på vegne af samtlige deltagende virksomheder. Undertegnede og samtlige anmeldende virksomheder er bekendt med straffebestemmelserne i konkurrencelovens §§ 22 og 23, jf. lovbekendtgørelse nr. 700 af 18. juni 2013.</w:t>
      </w:r>
    </w:p>
    <w:tbl>
      <w:tblPr>
        <w:tblW w:w="0" w:type="auto"/>
        <w:tblCellMar>
          <w:left w:w="0" w:type="dxa"/>
          <w:right w:w="0" w:type="dxa"/>
        </w:tblCellMar>
        <w:tblLook w:val="04A0" w:firstRow="1" w:lastRow="0" w:firstColumn="1" w:lastColumn="0" w:noHBand="0" w:noVBand="1"/>
      </w:tblPr>
      <w:tblGrid>
        <w:gridCol w:w="9638"/>
      </w:tblGrid>
      <w:tr w:rsidR="001E3F5C" w:rsidRPr="00DC13EC" w:rsidTr="001B74FA">
        <w:tc>
          <w:tcPr>
            <w:tcW w:w="0" w:type="auto"/>
            <w:hideMark/>
          </w:tcPr>
          <w:tbl>
            <w:tblPr>
              <w:tblW w:w="9765" w:type="dxa"/>
              <w:tblCellMar>
                <w:top w:w="15" w:type="dxa"/>
                <w:left w:w="15" w:type="dxa"/>
                <w:bottom w:w="15" w:type="dxa"/>
                <w:right w:w="15" w:type="dxa"/>
              </w:tblCellMar>
              <w:tblLook w:val="04A0" w:firstRow="1" w:lastRow="0" w:firstColumn="1" w:lastColumn="0" w:noHBand="0" w:noVBand="1"/>
            </w:tblPr>
            <w:tblGrid>
              <w:gridCol w:w="3045"/>
              <w:gridCol w:w="210"/>
              <w:gridCol w:w="3045"/>
              <w:gridCol w:w="210"/>
              <w:gridCol w:w="3255"/>
            </w:tblGrid>
            <w:tr w:rsidR="001E3F5C" w:rsidRPr="00DC13EC" w:rsidTr="001B74FA">
              <w:tc>
                <w:tcPr>
                  <w:tcW w:w="3045" w:type="dxa"/>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p>
              </w:tc>
              <w:tc>
                <w:tcPr>
                  <w:tcW w:w="210" w:type="dxa"/>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p>
              </w:tc>
              <w:tc>
                <w:tcPr>
                  <w:tcW w:w="3045" w:type="dxa"/>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p>
              </w:tc>
              <w:tc>
                <w:tcPr>
                  <w:tcW w:w="210" w:type="dxa"/>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p>
              </w:tc>
              <w:tc>
                <w:tcPr>
                  <w:tcW w:w="3255" w:type="dxa"/>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p>
              </w:tc>
            </w:tr>
            <w:tr w:rsidR="001E3F5C" w:rsidRPr="00DC13EC" w:rsidTr="001B74FA">
              <w:tc>
                <w:tcPr>
                  <w:tcW w:w="3045" w:type="dxa"/>
                  <w:hideMark/>
                </w:tcPr>
                <w:p w:rsidR="001E3F5C" w:rsidRDefault="001E3F5C" w:rsidP="001B74FA">
                  <w:pPr>
                    <w:spacing w:after="0" w:line="240" w:lineRule="auto"/>
                    <w:rPr>
                      <w:rFonts w:ascii="Times New Roman" w:eastAsia="Times New Roman" w:hAnsi="Times New Roman" w:cs="Times New Roman"/>
                      <w:b/>
                      <w:color w:val="000000"/>
                      <w:lang w:eastAsia="da-DK"/>
                    </w:rPr>
                  </w:pPr>
                </w:p>
                <w:p w:rsidR="001E3F5C" w:rsidRPr="00DC13EC" w:rsidRDefault="001E3F5C" w:rsidP="001B74FA">
                  <w:p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Sted og dato</w:t>
                  </w:r>
                </w:p>
              </w:tc>
              <w:tc>
                <w:tcPr>
                  <w:tcW w:w="210" w:type="dxa"/>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p>
              </w:tc>
              <w:tc>
                <w:tcPr>
                  <w:tcW w:w="3045" w:type="dxa"/>
                  <w:hideMark/>
                </w:tcPr>
                <w:p w:rsidR="001E3F5C" w:rsidRDefault="001E3F5C" w:rsidP="001B74FA">
                  <w:pPr>
                    <w:spacing w:after="0" w:line="240" w:lineRule="auto"/>
                    <w:rPr>
                      <w:rFonts w:ascii="Times New Roman" w:eastAsia="Times New Roman" w:hAnsi="Times New Roman" w:cs="Times New Roman"/>
                      <w:b/>
                      <w:color w:val="000000"/>
                      <w:lang w:eastAsia="da-DK"/>
                    </w:rPr>
                  </w:pPr>
                </w:p>
                <w:p w:rsidR="001E3F5C" w:rsidRPr="00DC13EC" w:rsidRDefault="001E3F5C" w:rsidP="001B74FA">
                  <w:p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Sted og dato</w:t>
                  </w:r>
                </w:p>
              </w:tc>
              <w:tc>
                <w:tcPr>
                  <w:tcW w:w="210" w:type="dxa"/>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p>
              </w:tc>
              <w:tc>
                <w:tcPr>
                  <w:tcW w:w="3255" w:type="dxa"/>
                  <w:hideMark/>
                </w:tcPr>
                <w:p w:rsidR="001E3F5C" w:rsidRDefault="001E3F5C" w:rsidP="001B74FA">
                  <w:pPr>
                    <w:spacing w:after="0" w:line="240" w:lineRule="auto"/>
                    <w:rPr>
                      <w:rFonts w:ascii="Times New Roman" w:eastAsia="Times New Roman" w:hAnsi="Times New Roman" w:cs="Times New Roman"/>
                      <w:b/>
                      <w:color w:val="000000"/>
                      <w:lang w:eastAsia="da-DK"/>
                    </w:rPr>
                  </w:pPr>
                </w:p>
                <w:p w:rsidR="001E3F5C" w:rsidRPr="00DC13EC" w:rsidRDefault="001E3F5C" w:rsidP="001B74FA">
                  <w:p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Sted og dato</w:t>
                  </w:r>
                </w:p>
                <w:p w:rsidR="001E3F5C" w:rsidRPr="00DC13EC" w:rsidRDefault="001E3F5C" w:rsidP="001B74FA">
                  <w:pPr>
                    <w:spacing w:after="0" w:line="240" w:lineRule="auto"/>
                    <w:rPr>
                      <w:rFonts w:ascii="Times New Roman" w:eastAsia="Times New Roman" w:hAnsi="Times New Roman" w:cs="Times New Roman"/>
                      <w:b/>
                      <w:color w:val="000000"/>
                      <w:lang w:eastAsia="da-DK"/>
                    </w:rPr>
                  </w:pPr>
                </w:p>
                <w:p w:rsidR="001E3F5C" w:rsidRPr="00DC13EC" w:rsidRDefault="001E3F5C" w:rsidP="001B74FA">
                  <w:pPr>
                    <w:spacing w:after="0" w:line="240" w:lineRule="auto"/>
                    <w:rPr>
                      <w:rFonts w:ascii="Times New Roman" w:eastAsia="Times New Roman" w:hAnsi="Times New Roman" w:cs="Times New Roman"/>
                      <w:b/>
                      <w:color w:val="000000"/>
                      <w:lang w:eastAsia="da-DK"/>
                    </w:rPr>
                  </w:pPr>
                </w:p>
                <w:p w:rsidR="001E3F5C" w:rsidRPr="00DC13EC" w:rsidRDefault="001E3F5C" w:rsidP="001B74FA">
                  <w:pPr>
                    <w:spacing w:after="0" w:line="240" w:lineRule="auto"/>
                    <w:rPr>
                      <w:rFonts w:ascii="Times New Roman" w:eastAsia="Times New Roman" w:hAnsi="Times New Roman" w:cs="Times New Roman"/>
                      <w:b/>
                      <w:color w:val="000000"/>
                      <w:lang w:eastAsia="da-DK"/>
                    </w:rPr>
                  </w:pPr>
                </w:p>
              </w:tc>
            </w:tr>
            <w:tr w:rsidR="001E3F5C" w:rsidRPr="00DC13EC" w:rsidTr="001B74FA">
              <w:tc>
                <w:tcPr>
                  <w:tcW w:w="3045" w:type="dxa"/>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p>
              </w:tc>
              <w:tc>
                <w:tcPr>
                  <w:tcW w:w="210" w:type="dxa"/>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p>
              </w:tc>
              <w:tc>
                <w:tcPr>
                  <w:tcW w:w="3045" w:type="dxa"/>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p>
              </w:tc>
              <w:tc>
                <w:tcPr>
                  <w:tcW w:w="210" w:type="dxa"/>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p>
              </w:tc>
              <w:tc>
                <w:tcPr>
                  <w:tcW w:w="3255" w:type="dxa"/>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p>
              </w:tc>
            </w:tr>
            <w:tr w:rsidR="001E3F5C" w:rsidRPr="00DC13EC" w:rsidTr="001B74FA">
              <w:tc>
                <w:tcPr>
                  <w:tcW w:w="3045" w:type="dxa"/>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p>
              </w:tc>
              <w:tc>
                <w:tcPr>
                  <w:tcW w:w="210" w:type="dxa"/>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p>
              </w:tc>
              <w:tc>
                <w:tcPr>
                  <w:tcW w:w="3045" w:type="dxa"/>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p>
              </w:tc>
              <w:tc>
                <w:tcPr>
                  <w:tcW w:w="210" w:type="dxa"/>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p>
              </w:tc>
              <w:tc>
                <w:tcPr>
                  <w:tcW w:w="3255" w:type="dxa"/>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p>
              </w:tc>
            </w:tr>
            <w:tr w:rsidR="001E3F5C" w:rsidRPr="00DC13EC" w:rsidTr="001B74FA">
              <w:tc>
                <w:tcPr>
                  <w:tcW w:w="3045" w:type="dxa"/>
                  <w:tcBorders>
                    <w:bottom w:val="single" w:sz="8" w:space="0" w:color="000000"/>
                  </w:tcBorders>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p>
              </w:tc>
              <w:tc>
                <w:tcPr>
                  <w:tcW w:w="210" w:type="dxa"/>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p>
              </w:tc>
              <w:tc>
                <w:tcPr>
                  <w:tcW w:w="3045" w:type="dxa"/>
                  <w:tcBorders>
                    <w:bottom w:val="single" w:sz="8" w:space="0" w:color="000000"/>
                  </w:tcBorders>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p>
              </w:tc>
              <w:tc>
                <w:tcPr>
                  <w:tcW w:w="210" w:type="dxa"/>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p>
              </w:tc>
              <w:tc>
                <w:tcPr>
                  <w:tcW w:w="3255" w:type="dxa"/>
                  <w:tcBorders>
                    <w:bottom w:val="single" w:sz="8" w:space="0" w:color="000000"/>
                  </w:tcBorders>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p>
              </w:tc>
            </w:tr>
            <w:tr w:rsidR="001E3F5C" w:rsidRPr="00DC13EC" w:rsidTr="001B74FA">
              <w:tc>
                <w:tcPr>
                  <w:tcW w:w="3045" w:type="dxa"/>
                  <w:tcBorders>
                    <w:top w:val="single" w:sz="8" w:space="0" w:color="000000"/>
                  </w:tcBorders>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Underskrift</w:t>
                  </w:r>
                </w:p>
              </w:tc>
              <w:tc>
                <w:tcPr>
                  <w:tcW w:w="210" w:type="dxa"/>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p>
              </w:tc>
              <w:tc>
                <w:tcPr>
                  <w:tcW w:w="3045" w:type="dxa"/>
                  <w:tcBorders>
                    <w:top w:val="single" w:sz="8" w:space="0" w:color="000000"/>
                  </w:tcBorders>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Underskrift</w:t>
                  </w:r>
                </w:p>
              </w:tc>
              <w:tc>
                <w:tcPr>
                  <w:tcW w:w="210" w:type="dxa"/>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p>
              </w:tc>
              <w:tc>
                <w:tcPr>
                  <w:tcW w:w="3255" w:type="dxa"/>
                  <w:tcBorders>
                    <w:top w:val="single" w:sz="8" w:space="0" w:color="000000"/>
                  </w:tcBorders>
                  <w:hideMark/>
                </w:tcPr>
                <w:p w:rsidR="001E3F5C" w:rsidRPr="00DC13EC" w:rsidRDefault="001E3F5C" w:rsidP="001B74FA">
                  <w:pPr>
                    <w:spacing w:after="0" w:line="240" w:lineRule="auto"/>
                    <w:rPr>
                      <w:rFonts w:ascii="Times New Roman" w:eastAsia="Times New Roman" w:hAnsi="Times New Roman" w:cs="Times New Roman"/>
                      <w:b/>
                      <w:color w:val="000000"/>
                      <w:lang w:eastAsia="da-DK"/>
                    </w:rPr>
                  </w:pPr>
                  <w:r w:rsidRPr="00DC13EC">
                    <w:rPr>
                      <w:rFonts w:ascii="Times New Roman" w:eastAsia="Times New Roman" w:hAnsi="Times New Roman" w:cs="Times New Roman"/>
                      <w:b/>
                      <w:color w:val="000000"/>
                      <w:lang w:eastAsia="da-DK"/>
                    </w:rPr>
                    <w:t>Underskrift</w:t>
                  </w:r>
                </w:p>
              </w:tc>
            </w:tr>
          </w:tbl>
          <w:p w:rsidR="001E3F5C" w:rsidRPr="00DC13EC" w:rsidRDefault="001E3F5C" w:rsidP="001B74FA">
            <w:pPr>
              <w:spacing w:after="0" w:line="240" w:lineRule="auto"/>
              <w:rPr>
                <w:rFonts w:ascii="Times New Roman" w:eastAsia="Times New Roman" w:hAnsi="Times New Roman" w:cs="Times New Roman"/>
                <w:b/>
                <w:color w:val="000000"/>
                <w:lang w:eastAsia="da-DK"/>
              </w:rPr>
            </w:pPr>
          </w:p>
        </w:tc>
      </w:tr>
    </w:tbl>
    <w:p w:rsidR="00376986" w:rsidRDefault="00376986"/>
    <w:sectPr w:rsidR="0037698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5C" w:rsidRDefault="001E3F5C" w:rsidP="001E3F5C">
      <w:pPr>
        <w:spacing w:after="0" w:line="240" w:lineRule="auto"/>
      </w:pPr>
      <w:r>
        <w:separator/>
      </w:r>
    </w:p>
  </w:endnote>
  <w:endnote w:type="continuationSeparator" w:id="0">
    <w:p w:rsidR="001E3F5C" w:rsidRDefault="001E3F5C" w:rsidP="001E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5C" w:rsidRDefault="001E3F5C" w:rsidP="001E3F5C">
      <w:pPr>
        <w:spacing w:after="0" w:line="240" w:lineRule="auto"/>
      </w:pPr>
      <w:r>
        <w:separator/>
      </w:r>
    </w:p>
  </w:footnote>
  <w:footnote w:type="continuationSeparator" w:id="0">
    <w:p w:rsidR="001E3F5C" w:rsidRDefault="001E3F5C" w:rsidP="001E3F5C">
      <w:pPr>
        <w:spacing w:after="0" w:line="240" w:lineRule="auto"/>
      </w:pPr>
      <w:r>
        <w:continuationSeparator/>
      </w:r>
    </w:p>
  </w:footnote>
  <w:footnote w:id="1">
    <w:p w:rsidR="001E3F5C" w:rsidRPr="004442BE" w:rsidRDefault="001E3F5C" w:rsidP="001E3F5C">
      <w:pPr>
        <w:pStyle w:val="Fodnotetekst"/>
        <w:rPr>
          <w:sz w:val="16"/>
          <w:szCs w:val="16"/>
        </w:rPr>
      </w:pPr>
      <w:r w:rsidRPr="004442BE">
        <w:rPr>
          <w:rStyle w:val="Fodnotehenvisning"/>
          <w:sz w:val="16"/>
          <w:szCs w:val="16"/>
        </w:rPr>
        <w:footnoteRef/>
      </w:r>
      <w:r w:rsidRPr="004442BE">
        <w:rPr>
          <w:sz w:val="16"/>
          <w:szCs w:val="16"/>
        </w:rPr>
        <w:t xml:space="preserve"> En fusionspart kan især betragtes som en potentiel konkurrent, når denne har planer om at trænge ind på et marked eller har udarbejdet og fulgt sådanne planer i de sidste to år.</w:t>
      </w:r>
    </w:p>
  </w:footnote>
  <w:footnote w:id="2">
    <w:p w:rsidR="001E3F5C" w:rsidRPr="004442BE" w:rsidRDefault="001E3F5C" w:rsidP="001E3F5C">
      <w:pPr>
        <w:pStyle w:val="Fodnotetekst"/>
        <w:rPr>
          <w:sz w:val="16"/>
          <w:szCs w:val="16"/>
        </w:rPr>
      </w:pPr>
      <w:r w:rsidRPr="004442BE">
        <w:rPr>
          <w:rStyle w:val="Fodnotehenvisning"/>
          <w:sz w:val="16"/>
          <w:szCs w:val="16"/>
        </w:rPr>
        <w:footnoteRef/>
      </w:r>
      <w:r w:rsidRPr="004442BE">
        <w:rPr>
          <w:sz w:val="16"/>
          <w:szCs w:val="16"/>
        </w:rPr>
        <w:t xml:space="preserve"> Produktmarkeder er nært beslægtede markeder, når produkterne enten er komplementære, dvs. hvis f.eks. anvendelse af det ene produkt medfører anvendelse af det andet produkt (f.eks. hæftemaskiner og hæfteklammer eller printer og printerpatroner), eller når de tilhører et produktsortiment, der generelt købes af den samme kundekategori til samme anvendelsesformål (f.eks. whisky og gin, der sælges til barer og restauranter, eller forskellige materialer til emballering af en bestemt varekategori, der sælges til producenterne af disse varer. )</w:t>
      </w:r>
    </w:p>
  </w:footnote>
  <w:footnote w:id="3">
    <w:p w:rsidR="001E3F5C" w:rsidRDefault="001E3F5C" w:rsidP="001E3F5C">
      <w:pPr>
        <w:pStyle w:val="Fodnotetekst"/>
      </w:pPr>
      <w:r w:rsidRPr="004442BE">
        <w:rPr>
          <w:rStyle w:val="Fodnotehenvisning"/>
          <w:sz w:val="16"/>
          <w:szCs w:val="16"/>
        </w:rPr>
        <w:footnoteRef/>
      </w:r>
      <w:r w:rsidRPr="004442BE">
        <w:rPr>
          <w:sz w:val="16"/>
          <w:szCs w:val="16"/>
        </w:rPr>
        <w:t xml:space="preserve"> Oplysningen skal gives for det relevante geografiske marked, dog ikke mindre end Danmark.</w:t>
      </w:r>
    </w:p>
  </w:footnote>
  <w:footnote w:id="4">
    <w:p w:rsidR="001E3F5C" w:rsidRPr="004442BE" w:rsidRDefault="001E3F5C" w:rsidP="001E3F5C">
      <w:pPr>
        <w:pStyle w:val="Fodnotetekst"/>
        <w:rPr>
          <w:sz w:val="16"/>
          <w:szCs w:val="16"/>
        </w:rPr>
      </w:pPr>
      <w:r w:rsidRPr="004442BE">
        <w:rPr>
          <w:rStyle w:val="Fodnotehenvisning"/>
          <w:sz w:val="16"/>
          <w:szCs w:val="16"/>
        </w:rPr>
        <w:footnoteRef/>
      </w:r>
      <w:r w:rsidRPr="004442BE">
        <w:rPr>
          <w:sz w:val="16"/>
          <w:szCs w:val="16"/>
        </w:rPr>
        <w:t xml:space="preserve"> Hvis mindre end fem virksomheder har en markedsandel på mindst 5 pct., skal der gives oplysning om de fem største konkurrenter.</w:t>
      </w:r>
    </w:p>
  </w:footnote>
  <w:footnote w:id="5">
    <w:p w:rsidR="001E3F5C" w:rsidRPr="004442BE" w:rsidRDefault="001E3F5C" w:rsidP="001E3F5C">
      <w:pPr>
        <w:pStyle w:val="Fodnotetekst"/>
        <w:rPr>
          <w:sz w:val="16"/>
          <w:szCs w:val="16"/>
        </w:rPr>
      </w:pPr>
      <w:r w:rsidRPr="004442BE">
        <w:rPr>
          <w:rStyle w:val="Fodnotehenvisning"/>
          <w:sz w:val="16"/>
          <w:szCs w:val="16"/>
        </w:rPr>
        <w:footnoteRef/>
      </w:r>
      <w:r w:rsidRPr="004442BE">
        <w:rPr>
          <w:sz w:val="16"/>
          <w:szCs w:val="16"/>
        </w:rPr>
        <w:t xml:space="preserve"> HHI står for </w:t>
      </w:r>
      <w:proofErr w:type="spellStart"/>
      <w:r w:rsidRPr="004442BE">
        <w:rPr>
          <w:sz w:val="16"/>
          <w:szCs w:val="16"/>
        </w:rPr>
        <w:t>Herfindahl</w:t>
      </w:r>
      <w:proofErr w:type="spellEnd"/>
      <w:r w:rsidRPr="004442BE">
        <w:rPr>
          <w:sz w:val="16"/>
          <w:szCs w:val="16"/>
        </w:rPr>
        <w:t>-Hirschman-indekset, der er et mål for markedskoncentrationen. HHI beregnes ved summen af kvadraterne på alle virksomhedens markedsandele på det pågældende marked.</w:t>
      </w:r>
    </w:p>
  </w:footnote>
  <w:footnote w:id="6">
    <w:p w:rsidR="001E3F5C" w:rsidRDefault="001E3F5C" w:rsidP="001E3F5C">
      <w:pPr>
        <w:pStyle w:val="Fodnotetekst"/>
      </w:pPr>
      <w:r w:rsidRPr="004442BE">
        <w:rPr>
          <w:rStyle w:val="Fodnotehenvisning"/>
          <w:sz w:val="16"/>
          <w:szCs w:val="16"/>
        </w:rPr>
        <w:footnoteRef/>
      </w:r>
      <w:r w:rsidRPr="004442BE">
        <w:rPr>
          <w:sz w:val="16"/>
          <w:szCs w:val="16"/>
        </w:rPr>
        <w:t xml:space="preserve"> Forøgelsen af koncentrationen målt ved HHI kan beregnes uafhængigt af koncentrationen på markedet som helhed ved at fordoble produktet af de deltagende virksomheders markedsandele.</w:t>
      </w:r>
    </w:p>
  </w:footnote>
  <w:footnote w:id="7">
    <w:p w:rsidR="001E3F5C" w:rsidRPr="004442BE" w:rsidRDefault="001E3F5C" w:rsidP="001E3F5C">
      <w:pPr>
        <w:pStyle w:val="Fodnotetekst"/>
        <w:rPr>
          <w:sz w:val="16"/>
          <w:szCs w:val="16"/>
        </w:rPr>
      </w:pPr>
      <w:r w:rsidRPr="004442BE">
        <w:rPr>
          <w:rStyle w:val="Fodnotehenvisning"/>
          <w:sz w:val="16"/>
          <w:szCs w:val="16"/>
        </w:rPr>
        <w:footnoteRef/>
      </w:r>
      <w:r w:rsidRPr="004442BE">
        <w:rPr>
          <w:sz w:val="16"/>
          <w:szCs w:val="16"/>
        </w:rPr>
        <w:t xml:space="preserve"> Produktmarkeder er nært beslægtede markeder, når produkterne enten er komplementære, dvs. hvis f.eks. anvendelse af det ene produkt medfører anvendelse af det andet produkt (f.eks. hæftemaskiner og hæfteklammer eller printer og printerpatroner), eller når de tilhører et produktsortiment, der generelt købes af den samme kundekategori til samme anvendelsesformål (f.eks. whisky og gin, der sælges til barer og restauranter, eller forskellige materialer til emballering af en bestemt varekategori, der sælges til producenterne af disse varer.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B3C"/>
    <w:multiLevelType w:val="hybridMultilevel"/>
    <w:tmpl w:val="F8289D0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157C46"/>
    <w:multiLevelType w:val="hybridMultilevel"/>
    <w:tmpl w:val="0A06CC7A"/>
    <w:lvl w:ilvl="0" w:tplc="AFB644D0">
      <w:start w:val="1"/>
      <w:numFmt w:val="lowerLetter"/>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2">
    <w:nsid w:val="10C634B0"/>
    <w:multiLevelType w:val="hybridMultilevel"/>
    <w:tmpl w:val="F67214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10C3BD1"/>
    <w:multiLevelType w:val="hybridMultilevel"/>
    <w:tmpl w:val="B3740812"/>
    <w:lvl w:ilvl="0" w:tplc="4ACCD010">
      <w:start w:val="1"/>
      <w:numFmt w:val="lowerLetter"/>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4">
    <w:nsid w:val="152C681F"/>
    <w:multiLevelType w:val="hybridMultilevel"/>
    <w:tmpl w:val="9F1ED2D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D9C2EAC"/>
    <w:multiLevelType w:val="hybridMultilevel"/>
    <w:tmpl w:val="8116B98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12252BB"/>
    <w:multiLevelType w:val="hybridMultilevel"/>
    <w:tmpl w:val="C070284A"/>
    <w:lvl w:ilvl="0" w:tplc="AFB644D0">
      <w:start w:val="1"/>
      <w:numFmt w:val="lowerLetter"/>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7">
    <w:nsid w:val="224148AE"/>
    <w:multiLevelType w:val="hybridMultilevel"/>
    <w:tmpl w:val="F1DE9CD2"/>
    <w:lvl w:ilvl="0" w:tplc="6EAE759E">
      <w:start w:val="1"/>
      <w:numFmt w:val="lowerRoman"/>
      <w:lvlText w:val="%1)"/>
      <w:lvlJc w:val="left"/>
      <w:pPr>
        <w:ind w:left="1080" w:hanging="360"/>
      </w:pPr>
      <w:rPr>
        <w:rFonts w:hint="default"/>
      </w:rPr>
    </w:lvl>
    <w:lvl w:ilvl="1" w:tplc="04060019">
      <w:start w:val="1"/>
      <w:numFmt w:val="lowerLetter"/>
      <w:lvlText w:val="%2."/>
      <w:lvlJc w:val="left"/>
      <w:pPr>
        <w:ind w:left="1800" w:hanging="360"/>
      </w:pPr>
    </w:lvl>
    <w:lvl w:ilvl="2" w:tplc="B39C1B8C">
      <w:start w:val="1"/>
      <w:numFmt w:val="lowerLetter"/>
      <w:lvlText w:val="%3)"/>
      <w:lvlJc w:val="left"/>
      <w:pPr>
        <w:ind w:left="2700" w:hanging="360"/>
      </w:pPr>
      <w:rPr>
        <w:rFonts w:hint="default"/>
      </w:r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nsid w:val="24CB3A49"/>
    <w:multiLevelType w:val="hybridMultilevel"/>
    <w:tmpl w:val="6E4016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0D9034B"/>
    <w:multiLevelType w:val="hybridMultilevel"/>
    <w:tmpl w:val="79808934"/>
    <w:lvl w:ilvl="0" w:tplc="6EAE759E">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A0C7A51"/>
    <w:multiLevelType w:val="hybridMultilevel"/>
    <w:tmpl w:val="E32EF36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E76539A"/>
    <w:multiLevelType w:val="hybridMultilevel"/>
    <w:tmpl w:val="3FAE60EC"/>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5E62627"/>
    <w:multiLevelType w:val="hybridMultilevel"/>
    <w:tmpl w:val="CE0064FC"/>
    <w:lvl w:ilvl="0" w:tplc="6EAE759E">
      <w:start w:val="1"/>
      <w:numFmt w:val="lowerRoman"/>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nsid w:val="626058F1"/>
    <w:multiLevelType w:val="hybridMultilevel"/>
    <w:tmpl w:val="505C554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41B1000"/>
    <w:multiLevelType w:val="hybridMultilevel"/>
    <w:tmpl w:val="BD62D29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FDF6344"/>
    <w:multiLevelType w:val="hybridMultilevel"/>
    <w:tmpl w:val="E12282DA"/>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9"/>
  </w:num>
  <w:num w:numId="5">
    <w:abstractNumId w:val="5"/>
  </w:num>
  <w:num w:numId="6">
    <w:abstractNumId w:val="2"/>
  </w:num>
  <w:num w:numId="7">
    <w:abstractNumId w:val="8"/>
  </w:num>
  <w:num w:numId="8">
    <w:abstractNumId w:val="4"/>
  </w:num>
  <w:num w:numId="9">
    <w:abstractNumId w:val="7"/>
  </w:num>
  <w:num w:numId="10">
    <w:abstractNumId w:val="13"/>
  </w:num>
  <w:num w:numId="11">
    <w:abstractNumId w:val="15"/>
  </w:num>
  <w:num w:numId="12">
    <w:abstractNumId w:val="0"/>
  </w:num>
  <w:num w:numId="13">
    <w:abstractNumId w:val="10"/>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thAYn7Tdyez9EvnKHpYRFmhSL3M=" w:salt="9aIlRKBqgrIItmNXMjPxt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5C"/>
    <w:rsid w:val="001E3F5C"/>
    <w:rsid w:val="00376986"/>
    <w:rsid w:val="006145DA"/>
    <w:rsid w:val="008114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5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1">
    <w:name w:val="liste1"/>
    <w:basedOn w:val="Normal"/>
    <w:rsid w:val="001E3F5C"/>
    <w:pPr>
      <w:spacing w:after="0" w:line="240" w:lineRule="auto"/>
      <w:ind w:left="280"/>
    </w:pPr>
    <w:rPr>
      <w:rFonts w:ascii="Tahoma" w:eastAsia="Times New Roman" w:hAnsi="Tahoma" w:cs="Tahoma"/>
      <w:color w:val="000000"/>
      <w:sz w:val="24"/>
      <w:szCs w:val="24"/>
      <w:lang w:eastAsia="da-DK"/>
    </w:rPr>
  </w:style>
  <w:style w:type="paragraph" w:styleId="Listeafsnit">
    <w:name w:val="List Paragraph"/>
    <w:basedOn w:val="Normal"/>
    <w:uiPriority w:val="34"/>
    <w:qFormat/>
    <w:rsid w:val="001E3F5C"/>
    <w:pPr>
      <w:ind w:left="720"/>
      <w:contextualSpacing/>
    </w:pPr>
  </w:style>
  <w:style w:type="paragraph" w:styleId="Fodnotetekst">
    <w:name w:val="footnote text"/>
    <w:basedOn w:val="Normal"/>
    <w:link w:val="FodnotetekstTegn"/>
    <w:uiPriority w:val="99"/>
    <w:semiHidden/>
    <w:unhideWhenUsed/>
    <w:rsid w:val="001E3F5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E3F5C"/>
    <w:rPr>
      <w:sz w:val="20"/>
      <w:szCs w:val="20"/>
    </w:rPr>
  </w:style>
  <w:style w:type="character" w:styleId="Fodnotehenvisning">
    <w:name w:val="footnote reference"/>
    <w:basedOn w:val="Standardskrifttypeiafsnit"/>
    <w:uiPriority w:val="99"/>
    <w:semiHidden/>
    <w:unhideWhenUsed/>
    <w:rsid w:val="001E3F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5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1">
    <w:name w:val="liste1"/>
    <w:basedOn w:val="Normal"/>
    <w:rsid w:val="001E3F5C"/>
    <w:pPr>
      <w:spacing w:after="0" w:line="240" w:lineRule="auto"/>
      <w:ind w:left="280"/>
    </w:pPr>
    <w:rPr>
      <w:rFonts w:ascii="Tahoma" w:eastAsia="Times New Roman" w:hAnsi="Tahoma" w:cs="Tahoma"/>
      <w:color w:val="000000"/>
      <w:sz w:val="24"/>
      <w:szCs w:val="24"/>
      <w:lang w:eastAsia="da-DK"/>
    </w:rPr>
  </w:style>
  <w:style w:type="paragraph" w:styleId="Listeafsnit">
    <w:name w:val="List Paragraph"/>
    <w:basedOn w:val="Normal"/>
    <w:uiPriority w:val="34"/>
    <w:qFormat/>
    <w:rsid w:val="001E3F5C"/>
    <w:pPr>
      <w:ind w:left="720"/>
      <w:contextualSpacing/>
    </w:pPr>
  </w:style>
  <w:style w:type="paragraph" w:styleId="Fodnotetekst">
    <w:name w:val="footnote text"/>
    <w:basedOn w:val="Normal"/>
    <w:link w:val="FodnotetekstTegn"/>
    <w:uiPriority w:val="99"/>
    <w:semiHidden/>
    <w:unhideWhenUsed/>
    <w:rsid w:val="001E3F5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E3F5C"/>
    <w:rPr>
      <w:sz w:val="20"/>
      <w:szCs w:val="20"/>
    </w:rPr>
  </w:style>
  <w:style w:type="character" w:styleId="Fodnotehenvisning">
    <w:name w:val="footnote reference"/>
    <w:basedOn w:val="Standardskrifttypeiafsnit"/>
    <w:uiPriority w:val="99"/>
    <w:semiHidden/>
    <w:unhideWhenUsed/>
    <w:rsid w:val="001E3F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E6DCEC40.dotm</Template>
  <TotalTime>3</TotalTime>
  <Pages>11</Pages>
  <Words>3355</Words>
  <Characters>20470</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 Sigvard</dc:creator>
  <cp:lastModifiedBy>Nikolaj Sigvard</cp:lastModifiedBy>
  <cp:revision>2</cp:revision>
  <dcterms:created xsi:type="dcterms:W3CDTF">2014-01-31T10:25:00Z</dcterms:created>
  <dcterms:modified xsi:type="dcterms:W3CDTF">2014-01-31T10:29:00Z</dcterms:modified>
</cp:coreProperties>
</file>