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F2" w:rsidRPr="00DC13EC" w:rsidRDefault="009B32F2" w:rsidP="009B32F2">
      <w:pPr>
        <w:ind w:left="6520" w:firstLine="1304"/>
        <w:rPr>
          <w:rFonts w:ascii="Times New Roman" w:hAnsi="Times New Roman" w:cs="Times New Roman"/>
          <w:b/>
          <w:sz w:val="44"/>
          <w:szCs w:val="44"/>
        </w:rPr>
      </w:pPr>
      <w:r w:rsidRPr="00DC13EC">
        <w:rPr>
          <w:rFonts w:ascii="Times New Roman" w:hAnsi="Times New Roman" w:cs="Times New Roman"/>
          <w:b/>
          <w:sz w:val="44"/>
          <w:szCs w:val="44"/>
        </w:rPr>
        <w:t>Bilag 2</w:t>
      </w:r>
    </w:p>
    <w:p w:rsidR="009B32F2" w:rsidRPr="00DC13EC" w:rsidRDefault="009B32F2" w:rsidP="009B32F2">
      <w:pPr>
        <w:rPr>
          <w:rFonts w:ascii="Times New Roman" w:hAnsi="Times New Roman" w:cs="Times New Roman"/>
          <w:b/>
        </w:rPr>
      </w:pPr>
      <w:r w:rsidRPr="00DC13EC">
        <w:rPr>
          <w:rFonts w:ascii="Times New Roman" w:hAnsi="Times New Roman" w:cs="Times New Roman"/>
          <w:b/>
        </w:rPr>
        <w:tab/>
      </w:r>
    </w:p>
    <w:p w:rsidR="009B32F2" w:rsidRPr="00DC13EC" w:rsidRDefault="009B32F2" w:rsidP="009B32F2">
      <w:pPr>
        <w:jc w:val="center"/>
        <w:rPr>
          <w:rFonts w:ascii="Times New Roman" w:hAnsi="Times New Roman" w:cs="Times New Roman"/>
          <w:b/>
          <w:sz w:val="28"/>
          <w:szCs w:val="28"/>
        </w:rPr>
      </w:pPr>
      <w:r w:rsidRPr="00DC13EC">
        <w:rPr>
          <w:rFonts w:ascii="Times New Roman" w:hAnsi="Times New Roman" w:cs="Times New Roman"/>
          <w:b/>
          <w:sz w:val="28"/>
          <w:szCs w:val="28"/>
        </w:rPr>
        <w:t>Oplysninger til brug for forenklet anmeldelse af fusioner</w:t>
      </w:r>
    </w:p>
    <w:p w:rsidR="009B32F2" w:rsidRPr="00DC13EC" w:rsidRDefault="009B32F2" w:rsidP="009B32F2">
      <w:pPr>
        <w:rPr>
          <w:rFonts w:ascii="Times New Roman" w:hAnsi="Times New Roman" w:cs="Times New Roman"/>
          <w:b/>
        </w:rPr>
      </w:pP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Beskrivelse af fusionen</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1.1.</w:t>
      </w:r>
      <w:r w:rsidRPr="00DC13EC">
        <w:rPr>
          <w:rFonts w:ascii="Times New Roman" w:eastAsia="Times New Roman" w:hAnsi="Times New Roman" w:cs="Times New Roman"/>
          <w:b/>
          <w:color w:val="000000"/>
          <w:lang w:eastAsia="da-DK"/>
        </w:rPr>
        <w:t xml:space="preserve"> Giv en kort beskrivelse af fusionen med angivelse af, hvem der fusionerer, fusionens art (hel eller delvis virksomhedsovertagelse, virksomhedssammenlægning eller joint venture) og fusionsparternes aktivitetsområder. Oplys tillige de markeder, hvor fusionen vil få virkninger.</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1.2.</w:t>
      </w:r>
      <w:r w:rsidRPr="00DC13EC">
        <w:rPr>
          <w:rFonts w:ascii="Times New Roman" w:eastAsia="Times New Roman" w:hAnsi="Times New Roman" w:cs="Times New Roman"/>
          <w:b/>
          <w:color w:val="000000"/>
          <w:lang w:eastAsia="da-DK"/>
        </w:rPr>
        <w:t xml:space="preserve"> Giv en oversigt på max. 500 ord over ovennævnte oplysninger i en form, der er egnet til offentliggørelse, dvs. uden fortrolige oplysninger eller forretningshemmeligheder. Denne beskrivelse vil danne udgangspunkt for Konkurrence- og Forbrugerstyrelsens offentliggørelse af fusionen på anmeldelsestidspunktet.</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parterne</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2.1.</w:t>
      </w:r>
      <w:r w:rsidRPr="00DC13EC">
        <w:rPr>
          <w:rFonts w:ascii="Times New Roman" w:eastAsia="Times New Roman" w:hAnsi="Times New Roman" w:cs="Times New Roman"/>
          <w:b/>
          <w:color w:val="000000"/>
          <w:lang w:eastAsia="da-DK"/>
        </w:rPr>
        <w:t xml:space="preserve"> Oplysninger om anmelder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den/de anmeldende part(er) oplyses:</w:t>
      </w:r>
    </w:p>
    <w:p w:rsidR="009B32F2" w:rsidRPr="00DC13EC" w:rsidRDefault="009B32F2" w:rsidP="009B32F2">
      <w:pPr>
        <w:pStyle w:val="Listeafsnit"/>
        <w:numPr>
          <w:ilvl w:val="0"/>
          <w:numId w:val="1"/>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Virksomhedens navn og adresse.</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1"/>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Arten af virksomhedens aktiviteter (dvs. de grupper af produkter eller tjenester, som virksomheden producerer, køber eller sælger). Også aktivitetsområder, der ikke er omfattet af fusionen, skal oplyses.</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bookmarkStart w:id="0" w:name="_GoBack"/>
      <w:bookmarkEnd w:id="0"/>
      <w:r w:rsidR="00F71F8D">
        <w:rPr>
          <w:rFonts w:ascii="Times New Roman" w:eastAsia="Times New Roman" w:hAnsi="Times New Roman" w:cs="Times New Roman"/>
          <w:color w:val="000000"/>
          <w:lang w:eastAsia="da-DK"/>
        </w:rPr>
        <w:t> </w:t>
      </w:r>
      <w:r w:rsidR="00F71F8D">
        <w:rPr>
          <w:rFonts w:ascii="Times New Roman" w:eastAsia="Times New Roman" w:hAnsi="Times New Roman" w:cs="Times New Roman"/>
          <w:color w:val="000000"/>
          <w:lang w:eastAsia="da-DK"/>
        </w:rPr>
        <w:t> </w:t>
      </w:r>
      <w:r w:rsidR="00F71F8D">
        <w:rPr>
          <w:rFonts w:ascii="Times New Roman" w:eastAsia="Times New Roman" w:hAnsi="Times New Roman" w:cs="Times New Roman"/>
          <w:color w:val="000000"/>
          <w:lang w:eastAsia="da-DK"/>
        </w:rPr>
        <w:t> </w:t>
      </w:r>
      <w:r w:rsidR="00F71F8D">
        <w:rPr>
          <w:rFonts w:ascii="Times New Roman" w:eastAsia="Times New Roman" w:hAnsi="Times New Roman" w:cs="Times New Roman"/>
          <w:color w:val="000000"/>
          <w:lang w:eastAsia="da-DK"/>
        </w:rPr>
        <w:t> </w:t>
      </w:r>
      <w:r w:rsidR="00F71F8D">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1"/>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Kontaktpersonens navn og stilling, adresse, telefonnummer og e-mail-adresse.</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1"/>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Den adresse, hvortil der kan sendes dokumenter, herunder beslutninger og afgørelser fra Konkurrencerådet og Konkurrence- og Forbrugerstyrelsen.</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2.2.</w:t>
      </w:r>
      <w:r w:rsidRPr="00DC13EC">
        <w:rPr>
          <w:rFonts w:ascii="Times New Roman" w:eastAsia="Times New Roman" w:hAnsi="Times New Roman" w:cs="Times New Roman"/>
          <w:b/>
          <w:color w:val="000000"/>
          <w:lang w:eastAsia="da-DK"/>
        </w:rPr>
        <w:t xml:space="preserve"> Oplysninger om de øvrige fusionsparter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hver enkelt af de øvrige fusionsparter udover anmelder oplyses:</w:t>
      </w:r>
    </w:p>
    <w:p w:rsidR="009B32F2" w:rsidRPr="00DC13EC" w:rsidRDefault="009B32F2" w:rsidP="009B32F2">
      <w:pPr>
        <w:pStyle w:val="Listeafsnit"/>
        <w:numPr>
          <w:ilvl w:val="0"/>
          <w:numId w:val="2"/>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Virksomhedens navn og adresse.</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2"/>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deltagende virksomheders aktiviteter.</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2"/>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Kontaktpersonens navn og stilling, adresse, telefonnummer og e-mail-adresse.</w:t>
      </w:r>
    </w:p>
    <w:p w:rsidR="009B32F2" w:rsidRPr="00CA4416" w:rsidRDefault="009B32F2" w:rsidP="009B32F2">
      <w:pPr>
        <w:spacing w:after="0" w:line="240" w:lineRule="auto"/>
        <w:ind w:firstLine="64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lastRenderedPageBreak/>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2.3.</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repræsentanter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anmeldelsen er undertegnet af repræsentanter for virksomhederne, skal hver repræsentants navn, adresse, telefonnummer og e-mail-adresse oplyses med angivelse af, hvilke af fusionsparterne denne repræsenterer.</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3.</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Anmeldelse til andre konkurrencemyndigheder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fusionen er anmeldt eller vil blive anmeldt til andre konkurrencemyndigheder, herunder Europa-Kommissionen, oplyses dette med angivelse af navnene på disse konkurrencemyndigheder samt evt. kontaktperson.</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4.</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selve fusionen</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4.1.</w:t>
      </w:r>
      <w:r w:rsidRPr="00DC13EC">
        <w:rPr>
          <w:rFonts w:ascii="Times New Roman" w:eastAsia="Times New Roman" w:hAnsi="Times New Roman" w:cs="Times New Roman"/>
          <w:b/>
          <w:color w:val="000000"/>
          <w:lang w:eastAsia="da-DK"/>
        </w:rPr>
        <w:t xml:space="preserve"> Beskriv fusionen med angivelse af:</w:t>
      </w:r>
    </w:p>
    <w:p w:rsidR="009B32F2" w:rsidRPr="00DC13EC" w:rsidRDefault="009B32F2" w:rsidP="009B32F2">
      <w:pPr>
        <w:pStyle w:val="Listeafsnit"/>
        <w:numPr>
          <w:ilvl w:val="0"/>
          <w:numId w:val="4"/>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 fusionen udgør en sammensmeltning af to eller flere hidtil uafhængige virksomheder, erhvervelse af den direkte eller indirekte kontrol over hele eller dele af en eller flere andre virksomheder, oprettelsen af et selvstændigt fungerende joint venture eller, om fusionen på anden måde vil føre til afgørende indflydelse på virksomhedens drift, jf. konkurrencelovens § 12 a, stk. 3.</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4"/>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planlagte eller forventede tidspunkter for vigtige begivenheder, som vil lede til fusionens gennemførelse.</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4"/>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planlagte ejer- og kontrolforhold efter fusionen.</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4"/>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Transaktionens værdi (købsprisen eller alle de involverede aktivers værdi).</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4"/>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Hvilke branchekoder (NACE-koder) fusionen omfatter.</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4.2.</w:t>
      </w:r>
      <w:r w:rsidRPr="00DC13EC">
        <w:rPr>
          <w:rFonts w:ascii="Times New Roman" w:eastAsia="Times New Roman" w:hAnsi="Times New Roman" w:cs="Times New Roman"/>
          <w:b/>
          <w:color w:val="000000"/>
          <w:lang w:eastAsia="da-DK"/>
        </w:rPr>
        <w:t xml:space="preserve"> Oplys den økonomiske baggrund for fusionen.</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5.</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Økonomiske oplysninger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Oplys i DKK for hver af de deltagende virksomheder for det seneste regnskabsår:</w:t>
      </w:r>
    </w:p>
    <w:p w:rsidR="009B32F2" w:rsidRPr="00DC13EC" w:rsidRDefault="009B32F2" w:rsidP="009B32F2">
      <w:pPr>
        <w:pStyle w:val="Listeafsnit"/>
        <w:numPr>
          <w:ilvl w:val="0"/>
          <w:numId w:val="5"/>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Omsætning i Danmark.</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5"/>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Omsætning i EU.</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5"/>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Omsætning på verdensplan.</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lastRenderedPageBreak/>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spacing w:after="0" w:line="240" w:lineRule="auto"/>
        <w:rPr>
          <w:rFonts w:ascii="Times New Roman" w:eastAsia="Times New Roman" w:hAnsi="Times New Roman" w:cs="Times New Roman"/>
          <w:b/>
          <w:color w:val="000000"/>
          <w:lang w:eastAsia="da-DK"/>
        </w:rPr>
      </w:pP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6.</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Ejer- og kontrolforhold</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hver af fusionsparterne angives en liste over alle virksomheder, der tilhører samme koncern. Denne liste skal omfatte:</w:t>
      </w:r>
    </w:p>
    <w:p w:rsidR="009B32F2" w:rsidRPr="00DC13EC" w:rsidRDefault="009B32F2" w:rsidP="009B32F2">
      <w:pPr>
        <w:pStyle w:val="Listeafsnit"/>
        <w:numPr>
          <w:ilvl w:val="0"/>
          <w:numId w:val="6"/>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Alle virksomheder eller personer, der direkte eller indirekte kontrollerer fusionsparterne.</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6"/>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Alle virksomheder, der er aktive på et af de markeder, der er oplyst i punkt 7.1 nedenfor, og som direkte eller indirekte kontrolleres af:</w:t>
      </w:r>
    </w:p>
    <w:p w:rsidR="009B32F2" w:rsidRPr="00DC13EC" w:rsidRDefault="009B32F2" w:rsidP="009B32F2">
      <w:pPr>
        <w:pStyle w:val="Listeafsnit"/>
        <w:numPr>
          <w:ilvl w:val="0"/>
          <w:numId w:val="7"/>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En eller flere af fusionsparterne.</w:t>
      </w:r>
    </w:p>
    <w:p w:rsidR="009B32F2" w:rsidRPr="00CA4416" w:rsidRDefault="009B32F2" w:rsidP="009B32F2">
      <w:pPr>
        <w:pStyle w:val="Listeafsnit"/>
        <w:spacing w:after="0" w:line="240" w:lineRule="auto"/>
        <w:ind w:left="108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7"/>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Enhver anden virksomhed, der er nævnt i litra a.</w:t>
      </w:r>
    </w:p>
    <w:p w:rsidR="009B32F2" w:rsidRPr="00CA4416" w:rsidRDefault="009B32F2" w:rsidP="009B32F2">
      <w:pPr>
        <w:pStyle w:val="Listeafsnit"/>
        <w:spacing w:after="0" w:line="240" w:lineRule="auto"/>
        <w:ind w:left="108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hver af de virksomheder, der er angivet ovenfor, specificeres hvilken form for kontrol, der er tale om.</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9"/>
            <w:enabled/>
            <w:calcOnExit w:val="0"/>
            <w:textInput/>
          </w:ffData>
        </w:fldChar>
      </w:r>
      <w:bookmarkStart w:id="1" w:name="Tekst19"/>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1"/>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7.</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Markeder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Det er det/de relevante produktmarked(er) og det/de relevante geografiske marked(er), der danner grundlag for vurderingen af den nye virksomheds markedsstyrke efter fusionen.</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Afgrænsningen af det relevante marked fremgår af konkurrencelovens § 5 a. Oplysning om de relevante markeder gives af anmelder på baggrund af følgende definitioner: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Relevante produktmarkeder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Ved et relevant produktmarked forstås markedet for alle de varer og/eller tjenesteydelser, som forbrugeren betragter som indbyrdes substituerbare på grund af deres egenskaber, pris og anvendelsesformål. Et relevant produktmarked kan i visse tilfælde bestå af flere varer og/eller tjenesteydelser, som i vid udstrækning frembyder identiske fysiske eller tekniske egenskaber og er indbyrdes substituerbare.</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Blandt de faktorer, der er af betydning for vurderingen af det relevante produktmarked, indgår en analyse af, hvorfor de pågældende varer og tjenesteydelser henføres til dette marked, og hvorfor andre ikke henføres dertil under hensyn til f.eks. substituerbarhed, konkurrencevilkår, priser, krydspriselasticitet på efterspørgselssiden eller andre faktorer af relevans for afgrænsningen af produktmarkederne (f.eks. udbudssubstitution).</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Relevante geografiske markeder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Ved det relevante geografiske marked forstås det område, hvor de deltagende virksomheder udbyder og efterspørger de pågældende varer og tjenesteydelser, hvor konkurrencevilkårene er tilstrækkeligt homogene, og som kan adskilles fra tilgrænsende geografiske områder på grund af især væsentlige forskelle i konkurrencevilkårene.</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lastRenderedPageBreak/>
        <w:t>Blandt de faktorer, der er af betydning for vurderingen af det relevante marked, indgår de pågældende varers eller tjenesteydelsers art og egenskaber, adgangsbarrierer, forbrugerpræferencer, betydelige forskelle i virksomhedernes markedsandele i dette og tilgrænsende geografiske områder eller væsentlige prisforskelle.</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7.1.</w:t>
      </w:r>
      <w:r w:rsidRPr="00DC13EC">
        <w:rPr>
          <w:rFonts w:ascii="Times New Roman" w:eastAsia="Times New Roman" w:hAnsi="Times New Roman" w:cs="Times New Roman"/>
          <w:b/>
          <w:color w:val="000000"/>
          <w:lang w:eastAsia="da-DK"/>
        </w:rPr>
        <w:t xml:space="preserve"> Oplys samtlige relevante produktmarkeder og geografiske markeder, hvor</w:t>
      </w:r>
    </w:p>
    <w:p w:rsidR="009B32F2" w:rsidRPr="00DC13EC" w:rsidRDefault="009B32F2" w:rsidP="009B32F2">
      <w:pPr>
        <w:pStyle w:val="Listeafsnit"/>
        <w:numPr>
          <w:ilvl w:val="0"/>
          <w:numId w:val="8"/>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to eller flere af fusionsparterne er aktive på det samme marked (horisontale forbindelser), og/eller</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20"/>
            <w:enabled/>
            <w:calcOnExit w:val="0"/>
            <w:textInput/>
          </w:ffData>
        </w:fldChar>
      </w:r>
      <w:bookmarkStart w:id="2" w:name="Tekst20"/>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noProof/>
          <w:color w:val="000000"/>
          <w:lang w:eastAsia="da-DK"/>
        </w:rPr>
        <w:t>ailjsdailjwjil</w:t>
      </w:r>
      <w:r w:rsidRPr="00CA4416">
        <w:rPr>
          <w:rFonts w:ascii="Times New Roman" w:eastAsia="Times New Roman" w:hAnsi="Times New Roman" w:cs="Times New Roman"/>
          <w:color w:val="000000"/>
          <w:lang w:eastAsia="da-DK"/>
        </w:rPr>
        <w:fldChar w:fldCharType="end"/>
      </w:r>
      <w:bookmarkEnd w:id="2"/>
    </w:p>
    <w:p w:rsidR="009B32F2" w:rsidRPr="00DC13EC" w:rsidRDefault="009B32F2" w:rsidP="009B32F2">
      <w:pPr>
        <w:pStyle w:val="Listeafsnit"/>
        <w:numPr>
          <w:ilvl w:val="0"/>
          <w:numId w:val="8"/>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en eller flere af fusionsparterne er aktive på et marked i tidligere eller senere omsætningsled i forhold til det marked, som en eller flere andre af fusionsparterne er aktive på, uanset om der består et leverandør-/kundeforhold mellem dem eller ej (vertikale forbindelser).</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8.</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Markedsoplysninger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8.1.</w:t>
      </w:r>
      <w:r w:rsidRPr="00DC13EC">
        <w:rPr>
          <w:rFonts w:ascii="Times New Roman" w:eastAsia="Times New Roman" w:hAnsi="Times New Roman" w:cs="Times New Roman"/>
          <w:b/>
          <w:color w:val="000000"/>
          <w:lang w:eastAsia="da-DK"/>
        </w:rPr>
        <w:t xml:space="preserve"> For hvert af de markeder, der er oplyst i punkt 7.1, gives følgende oplysninger for det regnskabsår, der går forud for transaktionen:</w:t>
      </w:r>
    </w:p>
    <w:p w:rsidR="009B32F2" w:rsidRPr="00DC13EC" w:rsidRDefault="009B32F2" w:rsidP="009B32F2">
      <w:pPr>
        <w:pStyle w:val="Listeafsnit"/>
        <w:numPr>
          <w:ilvl w:val="0"/>
          <w:numId w:val="9"/>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Et skøn over den samlede omsætning på markedet målt i værdi og volumen med dokumentation for, hvordan disse skøn er foretaget.</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9"/>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Hver af fusionsparternes omsætning målt i værdi og volumen samt et skøn over markedsandelene med angivelse af, om der er sket væsentlige ændringer i salgs- og markedsandelene i de seneste tre regnskabsår.</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9"/>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Et skøn over de tre største konkurrenters markedsandel i værdi og volumen med angivelse af grundlaget for disse skøn. Oplys navn, adresse, e-mail-adresse og telefonnummer samt kontaktperson på disse konkurrenter.</w:t>
      </w:r>
    </w:p>
    <w:p w:rsidR="009B32F2" w:rsidRPr="00CA4416" w:rsidRDefault="009B32F2" w:rsidP="009B32F2">
      <w:pPr>
        <w:spacing w:after="0" w:line="240" w:lineRule="auto"/>
        <w:ind w:firstLine="72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Værdi skal angives i danske kroner, og volumen skal angives i antal enheder. Et markeds værdi og volumen bør angives således, at det afspejler produktionen minus eksport plus import på de pågældende geografiske områder.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8.2.</w:t>
      </w:r>
      <w:r w:rsidRPr="00DC13EC">
        <w:rPr>
          <w:rFonts w:ascii="Times New Roman" w:eastAsia="Times New Roman" w:hAnsi="Times New Roman" w:cs="Times New Roman"/>
          <w:b/>
          <w:color w:val="000000"/>
          <w:lang w:eastAsia="da-DK"/>
        </w:rPr>
        <w:t xml:space="preserve"> Oplys tillige navn, adresse, e-mail-adresse og telefonnummer samt kontaktperson på hver af fusionsparternes tre største kunder og tre største leverandører på hvert af de markeder, der er oplyst i punkt 7.1.</w:t>
      </w:r>
    </w:p>
    <w:p w:rsidR="009B32F2" w:rsidRPr="00CA4416" w:rsidRDefault="009B32F2" w:rsidP="009B32F2">
      <w:pPr>
        <w:spacing w:before="100" w:beforeAutospacing="1" w:after="100" w:afterAutospacing="1"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25"/>
            <w:enabled/>
            <w:calcOnExit w:val="0"/>
            <w:textInput/>
          </w:ffData>
        </w:fldChar>
      </w:r>
      <w:bookmarkStart w:id="3" w:name="Tekst25"/>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3"/>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Samordningsaspekter for så vidt angår joint ventures</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Det fremgår af konkurrencelovens § 12 c, stk. 3, at i det omfang oprettelsen af et joint venture, som udgør en fusion efter § 12 a, stk. 2, tillige har til formål eller til følge at samordne fortsat uafhængige virksomheders konkurrenceadfærd, vurderes denne samordning efter kriterierne i § 6, stk. 1, og § 8, stk. 1, eller EUF-Traktatens artikel 101, stk. 1 og 3, for at fastslå, om transaktionen kan godkendes.</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fusionen udgør et joint venture, jf. konkurrencelovens § 12 a, stk. 2, skal oplyses:</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lastRenderedPageBreak/>
        <w:t>a) Om to eller flere af de stiftende virksomheder i væsentlig grad bibeholder aktiviteter på samme marked som joint venturet eller på et marked i et tidligere eller senere omsætningsled i forhold til dette marked eller på et nært beslægtet tilstødende marked</w:t>
      </w:r>
      <w:r w:rsidRPr="00DC13EC">
        <w:rPr>
          <w:rStyle w:val="Fodnotehenvisning"/>
          <w:rFonts w:ascii="Times New Roman" w:eastAsia="Times New Roman" w:hAnsi="Times New Roman" w:cs="Times New Roman"/>
          <w:b/>
          <w:color w:val="000000"/>
          <w:lang w:eastAsia="da-DK"/>
        </w:rPr>
        <w:footnoteReference w:id="1"/>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p>
    <w:p w:rsidR="009B32F2" w:rsidRPr="00CA4416" w:rsidRDefault="009B32F2" w:rsidP="009B32F2">
      <w:pPr>
        <w:spacing w:after="0" w:line="240" w:lineRule="auto"/>
        <w:ind w:left="28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bekræftende fald oplyses for hvert af markederne:</w:t>
      </w:r>
    </w:p>
    <w:p w:rsidR="009B32F2" w:rsidRPr="00DC13EC" w:rsidRDefault="009B32F2" w:rsidP="009B32F2">
      <w:pPr>
        <w:pStyle w:val="Listeafsnit"/>
        <w:numPr>
          <w:ilvl w:val="0"/>
          <w:numId w:val="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Hver stiftende virksomheds omsætning i det foregående regnskabsår.</w:t>
      </w:r>
    </w:p>
    <w:p w:rsidR="009B32F2" w:rsidRPr="00CA4416" w:rsidRDefault="009B32F2" w:rsidP="009B32F2">
      <w:pPr>
        <w:spacing w:after="0" w:line="240" w:lineRule="auto"/>
        <w:ind w:firstLine="72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Den økonomiske betydning af joint venturets aktiviteter i relation til denne omsætning.</w:t>
      </w:r>
    </w:p>
    <w:p w:rsidR="009B32F2" w:rsidRPr="00CA4416" w:rsidRDefault="009B32F2" w:rsidP="009B32F2">
      <w:pPr>
        <w:spacing w:after="0" w:line="240" w:lineRule="auto"/>
        <w:ind w:firstLine="72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pStyle w:val="Listeafsnit"/>
        <w:numPr>
          <w:ilvl w:val="0"/>
          <w:numId w:val="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Hver af de stiftende virksomheders markedsandel.</w:t>
      </w:r>
    </w:p>
    <w:p w:rsidR="009B32F2" w:rsidRPr="00CA4416" w:rsidRDefault="009B32F2" w:rsidP="009B32F2">
      <w:pPr>
        <w:spacing w:after="0" w:line="240" w:lineRule="auto"/>
        <w:ind w:firstLine="72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benægtende fald begrundes svaret.</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 Hvis svaret på litra a er bekræftende, og oprettelsen af joint venturet efter anmelders vurdering ikke resulterer i en samordning mellem uafhængige virksomheder, som begrænser konkurrencen efter konkurrencelovens § 6, stk. 1, og eventuelt tillige EUF-Traktatens art. 101, stk. 1, skal dette begrundes.</w:t>
      </w:r>
    </w:p>
    <w:p w:rsidR="009B32F2" w:rsidRPr="00DC13EC" w:rsidRDefault="009B32F2" w:rsidP="009B32F2">
      <w:pPr>
        <w:spacing w:after="0" w:line="240" w:lineRule="auto"/>
        <w:ind w:firstLine="280"/>
        <w:rPr>
          <w:rFonts w:ascii="Times New Roman" w:eastAsia="Times New Roman" w:hAnsi="Times New Roman" w:cs="Times New Roman"/>
          <w:b/>
          <w:color w:val="000000"/>
          <w:lang w:eastAsia="da-DK"/>
        </w:rPr>
      </w:pPr>
    </w:p>
    <w:p w:rsidR="009B32F2" w:rsidRPr="00CA4416" w:rsidRDefault="009B32F2" w:rsidP="009B32F2">
      <w:pPr>
        <w:spacing w:after="0" w:line="240" w:lineRule="auto"/>
        <w:ind w:firstLine="28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6"/>
            <w:enabled/>
            <w:calcOnExit w:val="0"/>
            <w:textInput/>
          </w:ffData>
        </w:fldChar>
      </w:r>
      <w:bookmarkStart w:id="4" w:name="Tekst16"/>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4"/>
    </w:p>
    <w:p w:rsidR="009B32F2" w:rsidRPr="00DC13EC" w:rsidRDefault="009B32F2" w:rsidP="009B32F2">
      <w:pPr>
        <w:spacing w:after="0" w:line="240" w:lineRule="auto"/>
        <w:ind w:firstLine="280"/>
        <w:rPr>
          <w:rFonts w:ascii="Times New Roman" w:eastAsia="Times New Roman" w:hAnsi="Times New Roman" w:cs="Times New Roman"/>
          <w:b/>
          <w:color w:val="000000"/>
          <w:lang w:eastAsia="da-DK"/>
        </w:rPr>
      </w:pP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c) Uanset svarene på litra a og b skal det oplyses, hvordan kriterierne i konkurrencelovens § 8, stk. 1, og eventuelt tillige EUF-Traktatens art. 101, stk. 3, finder anvendelse. Kriterierne herfor er, om transaktionen:</w:t>
      </w:r>
    </w:p>
    <w:p w:rsidR="009B32F2" w:rsidRPr="00DC13EC" w:rsidRDefault="009B32F2" w:rsidP="009B32F2">
      <w:pPr>
        <w:pStyle w:val="Listeafsnit"/>
        <w:numPr>
          <w:ilvl w:val="0"/>
          <w:numId w:val="10"/>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bidrager til at styrke effektiviteten i produktionen eller distributionen af varer eller tjenesteydelser eller fremmer den tekniske eller økonomiske udvikling,</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21"/>
            <w:enabled/>
            <w:calcOnExit w:val="0"/>
            <w:textInput/>
          </w:ffData>
        </w:fldChar>
      </w:r>
      <w:bookmarkStart w:id="5" w:name="Tekst21"/>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5"/>
    </w:p>
    <w:p w:rsidR="009B32F2" w:rsidRPr="00DC13EC" w:rsidRDefault="009B32F2" w:rsidP="009B32F2">
      <w:pPr>
        <w:pStyle w:val="Listeafsnit"/>
        <w:numPr>
          <w:ilvl w:val="0"/>
          <w:numId w:val="10"/>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sikrer forbrugerne en rimelig andel af fordelene herved,</w:t>
      </w:r>
    </w:p>
    <w:p w:rsidR="009B32F2" w:rsidRPr="00CA4416" w:rsidRDefault="009B32F2" w:rsidP="009B32F2">
      <w:pPr>
        <w:pStyle w:val="Listeafsnit"/>
        <w:spacing w:after="0" w:line="240" w:lineRule="auto"/>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22"/>
            <w:enabled/>
            <w:calcOnExit w:val="0"/>
            <w:textInput/>
          </w:ffData>
        </w:fldChar>
      </w:r>
      <w:bookmarkStart w:id="6" w:name="Tekst22"/>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6"/>
    </w:p>
    <w:p w:rsidR="009B32F2" w:rsidRPr="00DC13EC" w:rsidRDefault="009B32F2" w:rsidP="009B32F2">
      <w:pPr>
        <w:pStyle w:val="Listeafsnit"/>
        <w:numPr>
          <w:ilvl w:val="0"/>
          <w:numId w:val="10"/>
        </w:num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ikke pålægger virksomhederne begrænsninger, som er unødvendige for at nå disse mål, og</w:t>
      </w:r>
    </w:p>
    <w:p w:rsidR="009B32F2" w:rsidRPr="00CA4416" w:rsidRDefault="009B32F2" w:rsidP="009B32F2">
      <w:pPr>
        <w:spacing w:after="0" w:line="240" w:lineRule="auto"/>
        <w:ind w:left="72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23"/>
            <w:enabled/>
            <w:calcOnExit w:val="0"/>
            <w:textInput/>
          </w:ffData>
        </w:fldChar>
      </w:r>
      <w:bookmarkStart w:id="7" w:name="Tekst23"/>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7"/>
    </w:p>
    <w:p w:rsidR="009B32F2" w:rsidRPr="00DC13EC" w:rsidRDefault="009B32F2" w:rsidP="009B32F2">
      <w:pPr>
        <w:pStyle w:val="Listeafsnit"/>
        <w:numPr>
          <w:ilvl w:val="0"/>
          <w:numId w:val="10"/>
        </w:numPr>
        <w:spacing w:after="0" w:line="240" w:lineRule="auto"/>
        <w:rPr>
          <w:rFonts w:ascii="Times New Roman" w:eastAsia="Times New Roman" w:hAnsi="Times New Roman" w:cs="Times New Roman"/>
          <w:b/>
          <w:color w:val="000000"/>
          <w:lang w:eastAsia="da-DK"/>
        </w:rPr>
      </w:pPr>
      <w:proofErr w:type="gramStart"/>
      <w:r w:rsidRPr="00DC13EC">
        <w:rPr>
          <w:rFonts w:ascii="Times New Roman" w:eastAsia="Times New Roman" w:hAnsi="Times New Roman" w:cs="Times New Roman"/>
          <w:b/>
          <w:color w:val="000000"/>
          <w:lang w:eastAsia="da-DK"/>
        </w:rPr>
        <w:t>ikke giver virksomhederne mulighed for at udelukke konkurrencen for en væsentlig del af de pågældende varer eller tjenesteydelser.</w:t>
      </w:r>
      <w:proofErr w:type="gramEnd"/>
    </w:p>
    <w:p w:rsidR="009B32F2" w:rsidRPr="00CA4416" w:rsidRDefault="009B32F2" w:rsidP="009B32F2">
      <w:pPr>
        <w:spacing w:after="0" w:line="240" w:lineRule="auto"/>
        <w:ind w:left="720"/>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24"/>
            <w:enabled/>
            <w:calcOnExit w:val="0"/>
            <w:textInput/>
          </w:ffData>
        </w:fldChar>
      </w:r>
      <w:bookmarkStart w:id="8" w:name="Tekst24"/>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bookmarkEnd w:id="8"/>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10.</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Gebyr</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xml:space="preserve">Samtidig med indsendelsen af anmeldelsen skal der overføres et gebyr på 50.000 kr. til Konkurrence- og Forbrugerstyrelsens konto i Danske Bank, reg.nr. 0216, kontonummer </w:t>
      </w:r>
      <w:proofErr w:type="gramStart"/>
      <w:r w:rsidRPr="00DC13EC">
        <w:rPr>
          <w:rFonts w:ascii="Times New Roman" w:eastAsia="Times New Roman" w:hAnsi="Times New Roman" w:cs="Times New Roman"/>
          <w:b/>
          <w:color w:val="000000"/>
          <w:lang w:eastAsia="da-DK"/>
        </w:rPr>
        <w:t>4069045960</w:t>
      </w:r>
      <w:proofErr w:type="gramEnd"/>
      <w:r w:rsidRPr="00DC13EC">
        <w:rPr>
          <w:rFonts w:ascii="Times New Roman" w:eastAsia="Times New Roman" w:hAnsi="Times New Roman" w:cs="Times New Roman"/>
          <w:b/>
          <w:color w:val="000000"/>
          <w:lang w:eastAsia="da-DK"/>
        </w:rPr>
        <w:t>.</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11.</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Bilag</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Ved indgivelse af anmeldelsen skal følgende medsendes:</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lastRenderedPageBreak/>
        <w:t>a) Seneste reviderede årsregnskab og årsrapport for hver af fusionsparterne. Hvis der siden afslutningen af seneste regnskabsår er sket virksomhedsafhændelser eller -erhvervelser, skal dokumentation herfor vedlægges.</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 Kopi af de endelige eller seneste udgaver af alle dokumenter vedrørende fusionen, uanset om den finder sted i henhold til aftale mellem fusionsparterne, gennem erhvervelse af kontrollerende interesser eller efter et offentligt overtagelsestilbud.</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c) Koncernoversigt for hver enkelt af fusionsparterne.</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 En ikkefortrolig udgave af anmeldelsen.</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 Dokumentation for, at betalingen af gebyret er sket, jf. pkt. 10 (f.eks. kopi af bankoverførsel til Konkurrence- og Forbrugerstyrelsens konto).</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bCs/>
          <w:color w:val="000000"/>
          <w:lang w:eastAsia="da-DK"/>
        </w:rPr>
      </w:pP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12.</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Erklæring</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Sammen med oplysningerne, jf. punkt 1-10, skal der indsendes en underskrevet erklæring, hvorefter anmelder erklærer:</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at oplysningerne i denne anmeldelse er korrekte,</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at der er vedlagt fuldstændige kopier af de i bilag 2 krævede dokumenter samt</w:t>
      </w:r>
    </w:p>
    <w:p w:rsidR="009B32F2" w:rsidRPr="00DC13EC" w:rsidRDefault="009B32F2" w:rsidP="009B32F2">
      <w:pPr>
        <w:spacing w:after="0" w:line="240" w:lineRule="auto"/>
        <w:ind w:left="280"/>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at alle udtalelser er afgivet i god tro.</w:t>
      </w:r>
    </w:p>
    <w:p w:rsidR="009B32F2" w:rsidRPr="00DC13EC" w:rsidRDefault="009B32F2" w:rsidP="009B32F2">
      <w:pPr>
        <w:spacing w:before="100" w:beforeAutospacing="1" w:after="100" w:afterAutospacing="1"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erklæringen afgives af en anden end de deltagende virksomheder, indestår undertegnede for, at oplysningerne m.v. er afgivet på vegne af samtlige deltagende virksomheder. Undertegnede og samtlige anmeldende virksomheder er bekendt med straffebestemmelserne i konkurrencelovens §§ 22 og 23, jf. lovbekendtgørelse nr. 700 af 18. juni 2013.</w:t>
      </w:r>
    </w:p>
    <w:tbl>
      <w:tblPr>
        <w:tblW w:w="0" w:type="auto"/>
        <w:tblCellMar>
          <w:left w:w="0" w:type="dxa"/>
          <w:right w:w="0" w:type="dxa"/>
        </w:tblCellMar>
        <w:tblLook w:val="04A0" w:firstRow="1" w:lastRow="0" w:firstColumn="1" w:lastColumn="0" w:noHBand="0" w:noVBand="1"/>
      </w:tblPr>
      <w:tblGrid>
        <w:gridCol w:w="9638"/>
      </w:tblGrid>
      <w:tr w:rsidR="009B32F2" w:rsidRPr="00DC13EC" w:rsidTr="001B74FA">
        <w:tc>
          <w:tcPr>
            <w:tcW w:w="0" w:type="auto"/>
            <w:hideMark/>
          </w:tcPr>
          <w:tbl>
            <w:tblPr>
              <w:tblW w:w="9765" w:type="dxa"/>
              <w:tblCellMar>
                <w:top w:w="15" w:type="dxa"/>
                <w:left w:w="15" w:type="dxa"/>
                <w:bottom w:w="15" w:type="dxa"/>
                <w:right w:w="15" w:type="dxa"/>
              </w:tblCellMar>
              <w:tblLook w:val="04A0" w:firstRow="1" w:lastRow="0" w:firstColumn="1" w:lastColumn="0" w:noHBand="0" w:noVBand="1"/>
            </w:tblPr>
            <w:tblGrid>
              <w:gridCol w:w="3045"/>
              <w:gridCol w:w="210"/>
              <w:gridCol w:w="3045"/>
              <w:gridCol w:w="210"/>
              <w:gridCol w:w="3255"/>
            </w:tblGrid>
            <w:tr w:rsidR="009B32F2" w:rsidRPr="00DC13EC" w:rsidTr="001B74FA">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25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r>
            <w:tr w:rsidR="009B32F2" w:rsidRPr="00DC13EC" w:rsidTr="001B74FA">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Sted og dato</w:t>
                  </w: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Sted og dato</w:t>
                  </w: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25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Sted og dato</w:t>
                  </w:r>
                </w:p>
                <w:p w:rsidR="009B32F2" w:rsidRPr="00DC13EC" w:rsidRDefault="009B32F2" w:rsidP="001B74FA">
                  <w:pPr>
                    <w:spacing w:after="0" w:line="240" w:lineRule="auto"/>
                    <w:rPr>
                      <w:rFonts w:ascii="Times New Roman" w:eastAsia="Times New Roman" w:hAnsi="Times New Roman" w:cs="Times New Roman"/>
                      <w:b/>
                      <w:color w:val="000000"/>
                      <w:lang w:eastAsia="da-DK"/>
                    </w:rPr>
                  </w:pPr>
                </w:p>
                <w:p w:rsidR="009B32F2" w:rsidRPr="00DC13EC" w:rsidRDefault="009B32F2" w:rsidP="001B74FA">
                  <w:pPr>
                    <w:spacing w:after="0" w:line="240" w:lineRule="auto"/>
                    <w:rPr>
                      <w:rFonts w:ascii="Times New Roman" w:eastAsia="Times New Roman" w:hAnsi="Times New Roman" w:cs="Times New Roman"/>
                      <w:b/>
                      <w:color w:val="000000"/>
                      <w:lang w:eastAsia="da-DK"/>
                    </w:rPr>
                  </w:pPr>
                </w:p>
                <w:p w:rsidR="009B32F2" w:rsidRPr="00DC13EC" w:rsidRDefault="009B32F2" w:rsidP="001B74FA">
                  <w:pPr>
                    <w:spacing w:after="0" w:line="240" w:lineRule="auto"/>
                    <w:rPr>
                      <w:rFonts w:ascii="Times New Roman" w:eastAsia="Times New Roman" w:hAnsi="Times New Roman" w:cs="Times New Roman"/>
                      <w:b/>
                      <w:color w:val="000000"/>
                      <w:lang w:eastAsia="da-DK"/>
                    </w:rPr>
                  </w:pPr>
                </w:p>
              </w:tc>
            </w:tr>
            <w:tr w:rsidR="009B32F2" w:rsidRPr="00DC13EC" w:rsidTr="001B74FA">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25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r>
            <w:tr w:rsidR="009B32F2" w:rsidRPr="00DC13EC" w:rsidTr="001B74FA">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04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255"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r>
            <w:tr w:rsidR="009B32F2" w:rsidRPr="00DC13EC" w:rsidTr="001B74FA">
              <w:tc>
                <w:tcPr>
                  <w:tcW w:w="3045" w:type="dxa"/>
                  <w:tcBorders>
                    <w:bottom w:val="single" w:sz="8" w:space="0" w:color="000000"/>
                  </w:tcBorders>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045" w:type="dxa"/>
                  <w:tcBorders>
                    <w:bottom w:val="single" w:sz="8" w:space="0" w:color="000000"/>
                  </w:tcBorders>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255" w:type="dxa"/>
                  <w:tcBorders>
                    <w:bottom w:val="single" w:sz="8" w:space="0" w:color="000000"/>
                  </w:tcBorders>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r>
            <w:tr w:rsidR="009B32F2" w:rsidRPr="00DC13EC" w:rsidTr="001B74FA">
              <w:tc>
                <w:tcPr>
                  <w:tcW w:w="3045" w:type="dxa"/>
                  <w:tcBorders>
                    <w:top w:val="single" w:sz="8" w:space="0" w:color="000000"/>
                  </w:tcBorders>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Underskrift</w:t>
                  </w: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045" w:type="dxa"/>
                  <w:tcBorders>
                    <w:top w:val="single" w:sz="8" w:space="0" w:color="000000"/>
                  </w:tcBorders>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Underskrift</w:t>
                  </w:r>
                </w:p>
              </w:tc>
              <w:tc>
                <w:tcPr>
                  <w:tcW w:w="210" w:type="dxa"/>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p>
              </w:tc>
              <w:tc>
                <w:tcPr>
                  <w:tcW w:w="3255" w:type="dxa"/>
                  <w:tcBorders>
                    <w:top w:val="single" w:sz="8" w:space="0" w:color="000000"/>
                  </w:tcBorders>
                  <w:hideMark/>
                </w:tcPr>
                <w:p w:rsidR="009B32F2" w:rsidRPr="00DC13EC" w:rsidRDefault="009B32F2"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Underskrift</w:t>
                  </w:r>
                </w:p>
              </w:tc>
            </w:tr>
          </w:tbl>
          <w:p w:rsidR="009B32F2" w:rsidRPr="00DC13EC" w:rsidRDefault="009B32F2" w:rsidP="001B74FA">
            <w:pPr>
              <w:spacing w:after="0" w:line="240" w:lineRule="auto"/>
              <w:rPr>
                <w:rFonts w:ascii="Times New Roman" w:eastAsia="Times New Roman" w:hAnsi="Times New Roman" w:cs="Times New Roman"/>
                <w:b/>
                <w:color w:val="000000"/>
                <w:lang w:eastAsia="da-DK"/>
              </w:rPr>
            </w:pPr>
          </w:p>
        </w:tc>
      </w:tr>
    </w:tbl>
    <w:p w:rsidR="009B32F2" w:rsidRPr="00DC13EC" w:rsidRDefault="009B32F2" w:rsidP="009B32F2">
      <w:pPr>
        <w:rPr>
          <w:rFonts w:ascii="Times New Roman" w:hAnsi="Times New Roman" w:cs="Times New Roman"/>
        </w:rPr>
      </w:pPr>
    </w:p>
    <w:p w:rsidR="00376986" w:rsidRDefault="00376986"/>
    <w:sectPr w:rsidR="00376986">
      <w:footnotePr>
        <w:numRestart w:val="eachSect"/>
      </w:foot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F2" w:rsidRDefault="009B32F2" w:rsidP="009B32F2">
      <w:pPr>
        <w:spacing w:after="0" w:line="240" w:lineRule="auto"/>
      </w:pPr>
      <w:r>
        <w:separator/>
      </w:r>
    </w:p>
  </w:endnote>
  <w:endnote w:type="continuationSeparator" w:id="0">
    <w:p w:rsidR="009B32F2" w:rsidRDefault="009B32F2" w:rsidP="009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F2" w:rsidRDefault="009B32F2" w:rsidP="009B32F2">
      <w:pPr>
        <w:spacing w:after="0" w:line="240" w:lineRule="auto"/>
      </w:pPr>
      <w:r>
        <w:separator/>
      </w:r>
    </w:p>
  </w:footnote>
  <w:footnote w:type="continuationSeparator" w:id="0">
    <w:p w:rsidR="009B32F2" w:rsidRDefault="009B32F2" w:rsidP="009B32F2">
      <w:pPr>
        <w:spacing w:after="0" w:line="240" w:lineRule="auto"/>
      </w:pPr>
      <w:r>
        <w:continuationSeparator/>
      </w:r>
    </w:p>
  </w:footnote>
  <w:footnote w:id="1">
    <w:p w:rsidR="009B32F2" w:rsidRDefault="009B32F2" w:rsidP="009B32F2">
      <w:pPr>
        <w:pStyle w:val="Fodnotetekst"/>
      </w:pPr>
      <w:r>
        <w:rPr>
          <w:rStyle w:val="Fodnotehenvisning"/>
        </w:rPr>
        <w:footnoteRef/>
      </w:r>
      <w:r>
        <w:t xml:space="preserve"> </w:t>
      </w:r>
      <w:r w:rsidRPr="004442BE">
        <w:rPr>
          <w:sz w:val="16"/>
          <w:szCs w:val="16"/>
        </w:rPr>
        <w:t>Produktmarkeder er nært beslægtede markeder, når produkterne enten er komplementære, dvs. hvis f.eks. anvendelse af det ene produkt medfører anvendelse af det andet produkt (f.eks. hæftemaskiner og hæfteklammer eller printer og printerpatroner), eller når de tilhører et produktsortiment, der generelt købes af den samme kundekategori til samme anvendelsesformål (f.eks. whisky og gin, der sælges til barer og restauranter, eller forskellige materialer til emballering af en bestemt varekategori, der sælges til</w:t>
      </w:r>
      <w:r>
        <w:rPr>
          <w:sz w:val="16"/>
          <w:szCs w:val="16"/>
        </w:rPr>
        <w:t xml:space="preserve"> producenterne af disse varer.</w:t>
      </w:r>
      <w:r w:rsidRPr="004442BE">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4356"/>
    <w:multiLevelType w:val="hybridMultilevel"/>
    <w:tmpl w:val="E99EFCA4"/>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9275747"/>
    <w:multiLevelType w:val="hybridMultilevel"/>
    <w:tmpl w:val="B70A83C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4D360FE"/>
    <w:multiLevelType w:val="hybridMultilevel"/>
    <w:tmpl w:val="0756E19E"/>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7146F59"/>
    <w:multiLevelType w:val="hybridMultilevel"/>
    <w:tmpl w:val="B70A83C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C403BAB"/>
    <w:multiLevelType w:val="hybridMultilevel"/>
    <w:tmpl w:val="DA5ED2B0"/>
    <w:lvl w:ilvl="0" w:tplc="0CA44C92">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5">
    <w:nsid w:val="64042CF6"/>
    <w:multiLevelType w:val="hybridMultilevel"/>
    <w:tmpl w:val="6800305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6977AAC"/>
    <w:multiLevelType w:val="hybridMultilevel"/>
    <w:tmpl w:val="DD46764C"/>
    <w:lvl w:ilvl="0" w:tplc="5AA02402">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7">
    <w:nsid w:val="6FF54CC2"/>
    <w:multiLevelType w:val="hybridMultilevel"/>
    <w:tmpl w:val="6BBEE01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61D1824"/>
    <w:multiLevelType w:val="hybridMultilevel"/>
    <w:tmpl w:val="1AAA3ED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F4D111A"/>
    <w:multiLevelType w:val="hybridMultilevel"/>
    <w:tmpl w:val="759A322A"/>
    <w:lvl w:ilvl="0" w:tplc="6EAE759E">
      <w:start w:val="1"/>
      <w:numFmt w:val="lowerRoman"/>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5"/>
  </w:num>
  <w:num w:numId="5">
    <w:abstractNumId w:val="8"/>
  </w:num>
  <w:num w:numId="6">
    <w:abstractNumId w:val="7"/>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S0Q2W9kSkot4Wnta8ifn5VKQSYc=" w:salt="TitfrAoyl7z1zAeYKv1Gog=="/>
  <w:defaultTabStop w:val="1304"/>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F2"/>
    <w:rsid w:val="00376986"/>
    <w:rsid w:val="008114C6"/>
    <w:rsid w:val="009B32F2"/>
    <w:rsid w:val="00F71F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32F2"/>
    <w:pPr>
      <w:ind w:left="720"/>
      <w:contextualSpacing/>
    </w:pPr>
  </w:style>
  <w:style w:type="paragraph" w:styleId="Fodnotetekst">
    <w:name w:val="footnote text"/>
    <w:basedOn w:val="Normal"/>
    <w:link w:val="FodnotetekstTegn"/>
    <w:uiPriority w:val="99"/>
    <w:semiHidden/>
    <w:unhideWhenUsed/>
    <w:rsid w:val="009B32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B32F2"/>
    <w:rPr>
      <w:sz w:val="20"/>
      <w:szCs w:val="20"/>
    </w:rPr>
  </w:style>
  <w:style w:type="character" w:styleId="Fodnotehenvisning">
    <w:name w:val="footnote reference"/>
    <w:basedOn w:val="Standardskrifttypeiafsnit"/>
    <w:uiPriority w:val="99"/>
    <w:semiHidden/>
    <w:unhideWhenUsed/>
    <w:rsid w:val="009B32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32F2"/>
    <w:pPr>
      <w:ind w:left="720"/>
      <w:contextualSpacing/>
    </w:pPr>
  </w:style>
  <w:style w:type="paragraph" w:styleId="Fodnotetekst">
    <w:name w:val="footnote text"/>
    <w:basedOn w:val="Normal"/>
    <w:link w:val="FodnotetekstTegn"/>
    <w:uiPriority w:val="99"/>
    <w:semiHidden/>
    <w:unhideWhenUsed/>
    <w:rsid w:val="009B32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B32F2"/>
    <w:rPr>
      <w:sz w:val="20"/>
      <w:szCs w:val="20"/>
    </w:rPr>
  </w:style>
  <w:style w:type="character" w:styleId="Fodnotehenvisning">
    <w:name w:val="footnote reference"/>
    <w:basedOn w:val="Standardskrifttypeiafsnit"/>
    <w:uiPriority w:val="99"/>
    <w:semiHidden/>
    <w:unhideWhenUsed/>
    <w:rsid w:val="009B3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E6DCEC40.dotm</Template>
  <TotalTime>1</TotalTime>
  <Pages>6</Pages>
  <Words>1637</Words>
  <Characters>9988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Sigvard</dc:creator>
  <cp:lastModifiedBy>Nikolaj Sigvard</cp:lastModifiedBy>
  <cp:revision>2</cp:revision>
  <dcterms:created xsi:type="dcterms:W3CDTF">2014-01-31T10:17:00Z</dcterms:created>
  <dcterms:modified xsi:type="dcterms:W3CDTF">2014-01-31T10:29:00Z</dcterms:modified>
</cp:coreProperties>
</file>